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77" w:rsidRDefault="00BF2677" w:rsidP="00772A2A">
      <w:pPr>
        <w:jc w:val="center"/>
        <w:rPr>
          <w:rFonts w:ascii="Arial" w:hAnsi="Arial" w:cs="Arial"/>
          <w:b/>
          <w:bCs/>
          <w:color w:val="FF0000"/>
          <w:u w:val="single"/>
        </w:rPr>
      </w:pPr>
      <w:bookmarkStart w:id="0" w:name="_GoBack"/>
      <w:bookmarkEnd w:id="0"/>
      <w:r w:rsidRPr="00BF2677">
        <w:rPr>
          <w:rFonts w:ascii="Arial" w:hAnsi="Arial" w:cs="Arial"/>
          <w:b/>
          <w:bCs/>
          <w:color w:val="FF0000"/>
          <w:u w:val="single"/>
        </w:rPr>
        <w:t>Modèle de note sans tableau</w:t>
      </w:r>
    </w:p>
    <w:p w:rsidR="000C691C" w:rsidRPr="007C23E1" w:rsidRDefault="000C691C" w:rsidP="00772A2A">
      <w:pPr>
        <w:jc w:val="center"/>
        <w:rPr>
          <w:rFonts w:ascii="Arial" w:hAnsi="Arial" w:cs="Arial"/>
          <w:b/>
          <w:bCs/>
          <w:sz w:val="20"/>
          <w:szCs w:val="20"/>
        </w:rPr>
      </w:pPr>
      <w:r w:rsidRPr="007C23E1">
        <w:rPr>
          <w:rFonts w:ascii="Arial" w:hAnsi="Arial" w:cs="Arial"/>
          <w:b/>
          <w:bCs/>
          <w:sz w:val="20"/>
          <w:szCs w:val="20"/>
        </w:rPr>
        <w:t>AUTRES RENSEIGNEMENTS COMPLÉMENTAIRES CONSOLIDÉS</w:t>
      </w:r>
      <w:r w:rsidRPr="007C23E1">
        <w:rPr>
          <w:rFonts w:ascii="Arial" w:hAnsi="Arial" w:cs="Arial"/>
          <w:b/>
          <w:bCs/>
          <w:sz w:val="20"/>
          <w:szCs w:val="20"/>
        </w:rPr>
        <w:br/>
        <w:t>AVANTAGES SOCIAUX FUTURS</w:t>
      </w:r>
      <w:r w:rsidRPr="007C23E1">
        <w:rPr>
          <w:rFonts w:ascii="Arial" w:hAnsi="Arial" w:cs="Arial"/>
          <w:b/>
          <w:bCs/>
          <w:sz w:val="20"/>
          <w:szCs w:val="20"/>
        </w:rPr>
        <w:br/>
        <w:t xml:space="preserve">EXERCICE TERMINÉ LE 31 DÉCEMBRE </w:t>
      </w:r>
      <w:r w:rsidR="000F4D5B" w:rsidRPr="007C23E1">
        <w:rPr>
          <w:rFonts w:ascii="Arial" w:hAnsi="Arial" w:cs="Arial"/>
          <w:b/>
          <w:bCs/>
          <w:sz w:val="20"/>
          <w:szCs w:val="20"/>
        </w:rPr>
        <w:t>201</w:t>
      </w:r>
      <w:r w:rsidR="000F4D5B">
        <w:rPr>
          <w:rFonts w:ascii="Arial" w:hAnsi="Arial" w:cs="Arial"/>
          <w:b/>
          <w:bCs/>
          <w:sz w:val="20"/>
          <w:szCs w:val="20"/>
        </w:rPr>
        <w:t>5</w:t>
      </w:r>
    </w:p>
    <w:p w:rsidR="000C691C" w:rsidRPr="007C23E1" w:rsidRDefault="000C691C" w:rsidP="00772A2A">
      <w:pPr>
        <w:pStyle w:val="Paragraphedeliste"/>
        <w:numPr>
          <w:ilvl w:val="0"/>
          <w:numId w:val="1"/>
        </w:numPr>
        <w:rPr>
          <w:rFonts w:ascii="Arial" w:hAnsi="Arial" w:cs="Arial"/>
          <w:b/>
          <w:bCs/>
          <w:sz w:val="20"/>
          <w:szCs w:val="20"/>
        </w:rPr>
      </w:pPr>
      <w:r w:rsidRPr="007C23E1">
        <w:rPr>
          <w:rFonts w:ascii="Arial" w:hAnsi="Arial" w:cs="Arial"/>
          <w:b/>
          <w:bCs/>
          <w:sz w:val="20"/>
          <w:szCs w:val="20"/>
        </w:rPr>
        <w:t>RÉGIMES CAPITALISÉS D’AVANTAGES SOCIAUX FUTURS À PRESTATIONS DÉTERMINÉES</w:t>
      </w:r>
    </w:p>
    <w:p w:rsidR="000F4D5B" w:rsidRPr="00791AA5" w:rsidRDefault="000F4D5B" w:rsidP="000F4D5B">
      <w:pPr>
        <w:rPr>
          <w:rFonts w:ascii="Arial" w:hAnsi="Arial" w:cs="Arial"/>
          <w:b/>
          <w:bCs/>
          <w:color w:val="FF0000"/>
          <w:sz w:val="20"/>
          <w:szCs w:val="20"/>
        </w:rPr>
      </w:pPr>
      <w:r>
        <w:rPr>
          <w:rFonts w:ascii="Arial" w:hAnsi="Arial" w:cs="Arial"/>
          <w:b/>
          <w:bCs/>
          <w:color w:val="FF0000"/>
          <w:sz w:val="20"/>
          <w:szCs w:val="20"/>
        </w:rPr>
        <w:t>[À</w:t>
      </w:r>
      <w:r w:rsidRPr="00791AA5">
        <w:rPr>
          <w:rFonts w:ascii="Arial" w:hAnsi="Arial" w:cs="Arial"/>
          <w:b/>
          <w:bCs/>
          <w:color w:val="FF0000"/>
          <w:sz w:val="20"/>
          <w:szCs w:val="20"/>
        </w:rPr>
        <w:t xml:space="preserve"> intégrer, en copiant et éditant, dans la </w:t>
      </w:r>
      <w:r>
        <w:rPr>
          <w:rFonts w:ascii="Arial" w:hAnsi="Arial" w:cs="Arial"/>
          <w:b/>
          <w:bCs/>
          <w:color w:val="FF0000"/>
          <w:sz w:val="20"/>
          <w:szCs w:val="20"/>
        </w:rPr>
        <w:t>zone de texte libre « N</w:t>
      </w:r>
      <w:r w:rsidRPr="00791AA5">
        <w:rPr>
          <w:rFonts w:ascii="Arial" w:hAnsi="Arial" w:cs="Arial"/>
          <w:b/>
          <w:bCs/>
          <w:color w:val="FF0000"/>
          <w:sz w:val="20"/>
          <w:szCs w:val="20"/>
        </w:rPr>
        <w:t>ote</w:t>
      </w:r>
      <w:r>
        <w:rPr>
          <w:rFonts w:ascii="Arial" w:hAnsi="Arial" w:cs="Arial"/>
          <w:b/>
          <w:bCs/>
          <w:color w:val="FF0000"/>
          <w:sz w:val="20"/>
          <w:szCs w:val="20"/>
        </w:rPr>
        <w:t> »</w:t>
      </w:r>
      <w:r w:rsidRPr="00791AA5">
        <w:rPr>
          <w:rFonts w:ascii="Arial" w:hAnsi="Arial" w:cs="Arial"/>
          <w:b/>
          <w:bCs/>
          <w:color w:val="FF0000"/>
          <w:sz w:val="20"/>
          <w:szCs w:val="20"/>
        </w:rPr>
        <w:t xml:space="preserve"> </w:t>
      </w:r>
      <w:r>
        <w:rPr>
          <w:rFonts w:ascii="Arial" w:hAnsi="Arial" w:cs="Arial"/>
          <w:b/>
          <w:bCs/>
          <w:color w:val="FF0000"/>
          <w:sz w:val="20"/>
          <w:szCs w:val="20"/>
        </w:rPr>
        <w:t xml:space="preserve">juste après la note 8 sur les avantages sociaux futurs à la page S22-5 du </w:t>
      </w:r>
      <w:r w:rsidRPr="00791AA5">
        <w:rPr>
          <w:rFonts w:ascii="Arial" w:hAnsi="Arial" w:cs="Arial"/>
          <w:b/>
          <w:bCs/>
          <w:color w:val="FF0000"/>
          <w:sz w:val="20"/>
          <w:szCs w:val="20"/>
        </w:rPr>
        <w:t>formulaire du rapport financier du MAMOT</w:t>
      </w:r>
      <w:r>
        <w:rPr>
          <w:rFonts w:ascii="Arial" w:hAnsi="Arial" w:cs="Arial"/>
          <w:b/>
          <w:bCs/>
          <w:color w:val="FF0000"/>
          <w:sz w:val="20"/>
          <w:szCs w:val="20"/>
        </w:rPr>
        <w:t xml:space="preserve">. En effet, cette zone de texte y a été ajoutée au rapport financier 2015, évitant ainsi d’inscrire l’information relative à la Loi 15 </w:t>
      </w:r>
      <w:r w:rsidRPr="00791AA5">
        <w:rPr>
          <w:rFonts w:ascii="Arial" w:hAnsi="Arial" w:cs="Arial"/>
          <w:b/>
          <w:bCs/>
          <w:color w:val="FF0000"/>
          <w:sz w:val="20"/>
          <w:szCs w:val="20"/>
        </w:rPr>
        <w:t xml:space="preserve">dans le champ texte </w:t>
      </w:r>
      <w:r>
        <w:rPr>
          <w:rFonts w:ascii="Arial" w:hAnsi="Arial" w:cs="Arial"/>
          <w:b/>
          <w:bCs/>
          <w:color w:val="FF0000"/>
          <w:sz w:val="20"/>
          <w:szCs w:val="20"/>
        </w:rPr>
        <w:t>de</w:t>
      </w:r>
      <w:r w:rsidRPr="00791AA5">
        <w:rPr>
          <w:rFonts w:ascii="Arial" w:hAnsi="Arial" w:cs="Arial"/>
          <w:b/>
          <w:bCs/>
          <w:color w:val="FF0000"/>
          <w:sz w:val="20"/>
          <w:szCs w:val="20"/>
        </w:rPr>
        <w:t xml:space="preserve"> la rubriqu</w:t>
      </w:r>
      <w:r>
        <w:rPr>
          <w:rFonts w:ascii="Arial" w:hAnsi="Arial" w:cs="Arial"/>
          <w:b/>
          <w:bCs/>
          <w:color w:val="FF0000"/>
          <w:sz w:val="20"/>
          <w:szCs w:val="20"/>
        </w:rPr>
        <w:t>e « Description des régimes » au</w:t>
      </w:r>
      <w:r w:rsidRPr="00791AA5">
        <w:rPr>
          <w:rFonts w:ascii="Arial" w:hAnsi="Arial" w:cs="Arial"/>
          <w:b/>
          <w:bCs/>
          <w:color w:val="FF0000"/>
          <w:sz w:val="20"/>
          <w:szCs w:val="20"/>
        </w:rPr>
        <w:t xml:space="preserve"> haut de la page S24-1</w:t>
      </w:r>
      <w:r>
        <w:rPr>
          <w:rStyle w:val="Marquedecommentaire"/>
        </w:rPr>
        <w:commentReference w:id="1"/>
      </w:r>
      <w:r w:rsidRPr="00791AA5">
        <w:rPr>
          <w:rFonts w:ascii="Arial" w:hAnsi="Arial" w:cs="Arial"/>
          <w:b/>
          <w:bCs/>
          <w:color w:val="FF0000"/>
          <w:sz w:val="20"/>
          <w:szCs w:val="20"/>
        </w:rPr>
        <w:t>]</w:t>
      </w:r>
    </w:p>
    <w:p w:rsidR="000C691C" w:rsidRPr="007C23E1" w:rsidRDefault="000C691C" w:rsidP="00D37AD6">
      <w:pPr>
        <w:jc w:val="both"/>
        <w:rPr>
          <w:rFonts w:ascii="Arial" w:hAnsi="Arial" w:cs="Arial"/>
          <w:b/>
          <w:bCs/>
          <w:sz w:val="20"/>
          <w:szCs w:val="20"/>
        </w:rPr>
      </w:pPr>
      <w:r w:rsidRPr="007C23E1">
        <w:rPr>
          <w:rFonts w:ascii="Arial" w:hAnsi="Arial" w:cs="Arial"/>
          <w:b/>
          <w:bCs/>
          <w:sz w:val="20"/>
          <w:szCs w:val="20"/>
        </w:rPr>
        <w:t xml:space="preserve">La </w:t>
      </w:r>
      <w:r w:rsidRPr="007C23E1">
        <w:rPr>
          <w:rFonts w:ascii="Arial" w:hAnsi="Arial" w:cs="Arial"/>
          <w:b/>
          <w:bCs/>
          <w:i/>
          <w:iCs/>
          <w:sz w:val="20"/>
          <w:szCs w:val="20"/>
        </w:rPr>
        <w:t>Loi favorisant la santé financière et la pérennité des régimes de retraite à prestations déterminées du secteur municipal</w:t>
      </w:r>
    </w:p>
    <w:p w:rsidR="000C691C" w:rsidRPr="007C23E1" w:rsidRDefault="000C691C" w:rsidP="00BF103D">
      <w:pPr>
        <w:jc w:val="both"/>
        <w:rPr>
          <w:rFonts w:ascii="Arial" w:hAnsi="Arial" w:cs="Arial"/>
          <w:sz w:val="20"/>
          <w:szCs w:val="20"/>
        </w:rPr>
      </w:pPr>
      <w:r w:rsidRPr="007C23E1">
        <w:rPr>
          <w:rFonts w:ascii="Arial" w:hAnsi="Arial" w:cs="Arial"/>
          <w:sz w:val="20"/>
          <w:szCs w:val="20"/>
        </w:rPr>
        <w:t xml:space="preserve">Le </w:t>
      </w:r>
      <w:r w:rsidR="00AA2B74" w:rsidRPr="007C23E1">
        <w:rPr>
          <w:rFonts w:ascii="Arial" w:hAnsi="Arial" w:cs="Arial"/>
          <w:sz w:val="20"/>
          <w:szCs w:val="20"/>
        </w:rPr>
        <w:t>5 </w:t>
      </w:r>
      <w:r w:rsidRPr="007C23E1">
        <w:rPr>
          <w:rFonts w:ascii="Arial" w:hAnsi="Arial" w:cs="Arial"/>
          <w:sz w:val="20"/>
          <w:szCs w:val="20"/>
        </w:rPr>
        <w:t xml:space="preserve">décembre 2014, le gouvernement du Québec a sanctionné la </w:t>
      </w:r>
      <w:r w:rsidRPr="007C23E1">
        <w:rPr>
          <w:rFonts w:ascii="Arial" w:hAnsi="Arial" w:cs="Arial"/>
          <w:i/>
          <w:iCs/>
          <w:sz w:val="20"/>
          <w:szCs w:val="20"/>
        </w:rPr>
        <w:t xml:space="preserve">Loi favorisant la santé financière et la pérennité des régimes de retraite à prestations déterminées du secteur municipal </w:t>
      </w:r>
      <w:r w:rsidRPr="007C23E1">
        <w:rPr>
          <w:rFonts w:ascii="Arial" w:hAnsi="Arial" w:cs="Arial"/>
          <w:sz w:val="20"/>
          <w:szCs w:val="20"/>
        </w:rPr>
        <w:t xml:space="preserve">(RLRQ, c. 15) (ci-après la « Loi »). La Loi vise la restructuration des régimes de retraite et vient distinguer les modalités d’application relativement au service accumulé avant le </w:t>
      </w:r>
      <w:r w:rsidR="00AA2B74" w:rsidRPr="007C23E1">
        <w:rPr>
          <w:rFonts w:ascii="Arial" w:hAnsi="Arial" w:cs="Arial"/>
          <w:sz w:val="20"/>
          <w:szCs w:val="20"/>
        </w:rPr>
        <w:t>1</w:t>
      </w:r>
      <w:r w:rsidR="00AA2B74" w:rsidRPr="007C23E1">
        <w:rPr>
          <w:rFonts w:ascii="Arial" w:hAnsi="Arial" w:cs="Arial"/>
          <w:sz w:val="20"/>
          <w:szCs w:val="20"/>
          <w:vertAlign w:val="superscript"/>
        </w:rPr>
        <w:t>er</w:t>
      </w:r>
      <w:r w:rsidR="00AA2B74" w:rsidRPr="007C23E1">
        <w:rPr>
          <w:rFonts w:ascii="Arial" w:hAnsi="Arial" w:cs="Arial"/>
          <w:sz w:val="20"/>
          <w:szCs w:val="20"/>
        </w:rPr>
        <w:t> </w:t>
      </w:r>
      <w:r w:rsidRPr="007C23E1">
        <w:rPr>
          <w:rFonts w:ascii="Arial" w:hAnsi="Arial" w:cs="Arial"/>
          <w:sz w:val="20"/>
          <w:szCs w:val="20"/>
        </w:rPr>
        <w:t xml:space="preserve">janvier 2014 (ci-après le « service antérieur ») et le service qui s’accumule à compter de cette date (ci-après le « service postérieur »). Une évaluation actuarielle au </w:t>
      </w:r>
      <w:r w:rsidR="00AA2B74" w:rsidRPr="007C23E1">
        <w:rPr>
          <w:rFonts w:ascii="Arial" w:hAnsi="Arial" w:cs="Arial"/>
          <w:sz w:val="20"/>
          <w:szCs w:val="20"/>
        </w:rPr>
        <w:t>31 </w:t>
      </w:r>
      <w:r w:rsidRPr="007C23E1">
        <w:rPr>
          <w:rFonts w:ascii="Arial" w:hAnsi="Arial" w:cs="Arial"/>
          <w:sz w:val="20"/>
          <w:szCs w:val="20"/>
        </w:rPr>
        <w:t>décembre 2013 est requise par la Loi pour tous les régimes visés.</w:t>
      </w:r>
    </w:p>
    <w:p w:rsidR="000C691C" w:rsidRPr="007C23E1" w:rsidRDefault="000C691C" w:rsidP="00BF103D">
      <w:pPr>
        <w:jc w:val="both"/>
        <w:rPr>
          <w:rFonts w:ascii="Arial" w:hAnsi="Arial" w:cs="Arial"/>
          <w:sz w:val="20"/>
          <w:szCs w:val="20"/>
        </w:rPr>
      </w:pPr>
      <w:r w:rsidRPr="007C23E1">
        <w:rPr>
          <w:rFonts w:ascii="Arial" w:hAnsi="Arial" w:cs="Arial"/>
          <w:sz w:val="20"/>
          <w:szCs w:val="20"/>
        </w:rPr>
        <w:t xml:space="preserve">Un processus prévoit une période de négociations débutant le </w:t>
      </w:r>
      <w:r w:rsidR="00AA2B74" w:rsidRPr="007C23E1">
        <w:rPr>
          <w:rFonts w:ascii="Arial" w:hAnsi="Arial" w:cs="Arial"/>
          <w:sz w:val="20"/>
          <w:szCs w:val="20"/>
        </w:rPr>
        <w:t>1</w:t>
      </w:r>
      <w:r w:rsidR="00AA2B74" w:rsidRPr="007C23E1">
        <w:rPr>
          <w:rFonts w:ascii="Arial" w:hAnsi="Arial" w:cs="Arial"/>
          <w:sz w:val="20"/>
          <w:szCs w:val="20"/>
          <w:vertAlign w:val="superscript"/>
        </w:rPr>
        <w:t>er</w:t>
      </w:r>
      <w:r w:rsidR="00AA2B74" w:rsidRPr="007C23E1">
        <w:rPr>
          <w:rFonts w:ascii="Arial" w:hAnsi="Arial" w:cs="Arial"/>
          <w:sz w:val="20"/>
          <w:szCs w:val="20"/>
        </w:rPr>
        <w:t> </w:t>
      </w:r>
      <w:r w:rsidRPr="007C23E1">
        <w:rPr>
          <w:rFonts w:ascii="Arial" w:hAnsi="Arial" w:cs="Arial"/>
          <w:sz w:val="20"/>
          <w:szCs w:val="20"/>
        </w:rPr>
        <w:t xml:space="preserve">février 2015 afin de déterminer la nature des changements qui seront apportés aux régimes. En l’absence d’entente, une décision sans appel sera prise ultimement par un arbitre. Il est à noter que selon les conditions prévues à la Loi, certains régimes peuvent faire l’objet de report dans le processus avec négociations à compter du </w:t>
      </w:r>
      <w:r w:rsidR="00AA2B74" w:rsidRPr="007C23E1">
        <w:rPr>
          <w:rFonts w:ascii="Arial" w:hAnsi="Arial" w:cs="Arial"/>
          <w:sz w:val="20"/>
          <w:szCs w:val="20"/>
        </w:rPr>
        <w:t>1</w:t>
      </w:r>
      <w:r w:rsidR="00AA2B74" w:rsidRPr="007C23E1">
        <w:rPr>
          <w:rFonts w:ascii="Arial" w:hAnsi="Arial" w:cs="Arial"/>
          <w:sz w:val="20"/>
          <w:szCs w:val="20"/>
          <w:vertAlign w:val="superscript"/>
        </w:rPr>
        <w:t>er</w:t>
      </w:r>
      <w:r w:rsidR="00AA2B74" w:rsidRPr="007C23E1">
        <w:rPr>
          <w:rFonts w:ascii="Arial" w:hAnsi="Arial" w:cs="Arial"/>
          <w:sz w:val="20"/>
          <w:szCs w:val="20"/>
        </w:rPr>
        <w:t> </w:t>
      </w:r>
      <w:r w:rsidRPr="007C23E1">
        <w:rPr>
          <w:rFonts w:ascii="Arial" w:hAnsi="Arial" w:cs="Arial"/>
          <w:sz w:val="20"/>
          <w:szCs w:val="20"/>
        </w:rPr>
        <w:t xml:space="preserve">janvier 2016 (ci-après « régimes avec report »). Pour ces régimes avec report, une évaluation au </w:t>
      </w:r>
      <w:r w:rsidR="00AA2B74" w:rsidRPr="007C23E1">
        <w:rPr>
          <w:rFonts w:ascii="Arial" w:hAnsi="Arial" w:cs="Arial"/>
          <w:sz w:val="20"/>
          <w:szCs w:val="20"/>
        </w:rPr>
        <w:t>31 </w:t>
      </w:r>
      <w:r w:rsidRPr="007C23E1">
        <w:rPr>
          <w:rFonts w:ascii="Arial" w:hAnsi="Arial" w:cs="Arial"/>
          <w:sz w:val="20"/>
          <w:szCs w:val="20"/>
        </w:rPr>
        <w:t xml:space="preserve">décembre 2014 </w:t>
      </w:r>
      <w:r w:rsidR="00416034">
        <w:rPr>
          <w:rFonts w:ascii="Arial" w:hAnsi="Arial" w:cs="Arial"/>
          <w:sz w:val="20"/>
          <w:szCs w:val="20"/>
        </w:rPr>
        <w:t>est</w:t>
      </w:r>
      <w:r w:rsidR="00416034" w:rsidRPr="007C23E1">
        <w:rPr>
          <w:rFonts w:ascii="Arial" w:hAnsi="Arial" w:cs="Arial"/>
          <w:sz w:val="20"/>
          <w:szCs w:val="20"/>
        </w:rPr>
        <w:t xml:space="preserve"> </w:t>
      </w:r>
      <w:r w:rsidRPr="007C23E1">
        <w:rPr>
          <w:rFonts w:ascii="Arial" w:hAnsi="Arial" w:cs="Arial"/>
          <w:sz w:val="20"/>
          <w:szCs w:val="20"/>
        </w:rPr>
        <w:t>requise. Certains changements de la Loi s’appliquent dès le 1</w:t>
      </w:r>
      <w:r w:rsidRPr="007C23E1">
        <w:rPr>
          <w:rFonts w:ascii="Arial" w:hAnsi="Arial" w:cs="Arial"/>
          <w:sz w:val="20"/>
          <w:szCs w:val="20"/>
          <w:vertAlign w:val="superscript"/>
        </w:rPr>
        <w:t>er</w:t>
      </w:r>
      <w:r w:rsidRPr="007C23E1">
        <w:rPr>
          <w:rFonts w:ascii="Arial" w:hAnsi="Arial" w:cs="Arial"/>
          <w:sz w:val="20"/>
          <w:szCs w:val="20"/>
        </w:rPr>
        <w:t xml:space="preserve"> janvier 2014, d’autres s’appliquent à la conclusion de l’entente entre les parties alors que d’autres éléments s’appliquent à la fin de la convention collective</w:t>
      </w:r>
      <w:r w:rsidR="002E4828" w:rsidRPr="007C23E1">
        <w:rPr>
          <w:rFonts w:ascii="Arial" w:hAnsi="Arial" w:cs="Arial"/>
          <w:sz w:val="20"/>
          <w:szCs w:val="20"/>
        </w:rPr>
        <w:t xml:space="preserve"> en vigueur</w:t>
      </w:r>
      <w:r w:rsidRPr="007C23E1">
        <w:rPr>
          <w:rFonts w:ascii="Arial" w:hAnsi="Arial" w:cs="Arial"/>
          <w:sz w:val="20"/>
          <w:szCs w:val="20"/>
        </w:rPr>
        <w:t xml:space="preserve"> pour les régimes avec report.</w:t>
      </w:r>
    </w:p>
    <w:p w:rsidR="000C691C" w:rsidRPr="007C23E1" w:rsidRDefault="000C691C" w:rsidP="00BF103D">
      <w:pPr>
        <w:jc w:val="both"/>
        <w:rPr>
          <w:rFonts w:ascii="Arial" w:hAnsi="Arial" w:cs="Arial"/>
          <w:sz w:val="20"/>
          <w:szCs w:val="20"/>
        </w:rPr>
      </w:pPr>
      <w:r w:rsidRPr="007C23E1">
        <w:rPr>
          <w:rFonts w:ascii="Arial" w:hAnsi="Arial" w:cs="Arial"/>
          <w:sz w:val="20"/>
          <w:szCs w:val="20"/>
        </w:rPr>
        <w:t xml:space="preserve">Des requêtes introductives d’instance en déclaration d’inconstitutionnalité et en nullité ont été déposées devant la Cour supérieure visant à faire annuler cette Loi. Puisque l’issue de ces démarches </w:t>
      </w:r>
      <w:r w:rsidR="00465D4B">
        <w:rPr>
          <w:rFonts w:ascii="Arial" w:hAnsi="Arial" w:cs="Arial"/>
          <w:sz w:val="20"/>
          <w:szCs w:val="20"/>
        </w:rPr>
        <w:t>et l’ampleur des sommes en cause sont</w:t>
      </w:r>
      <w:r w:rsidRPr="007C23E1">
        <w:rPr>
          <w:rFonts w:ascii="Arial" w:hAnsi="Arial" w:cs="Arial"/>
          <w:sz w:val="20"/>
          <w:szCs w:val="20"/>
        </w:rPr>
        <w:t xml:space="preserve"> indéterminable</w:t>
      </w:r>
      <w:r w:rsidR="00465D4B">
        <w:rPr>
          <w:rFonts w:ascii="Arial" w:hAnsi="Arial" w:cs="Arial"/>
          <w:sz w:val="20"/>
          <w:szCs w:val="20"/>
        </w:rPr>
        <w:t>s</w:t>
      </w:r>
      <w:r w:rsidRPr="007C23E1">
        <w:rPr>
          <w:rFonts w:ascii="Arial" w:hAnsi="Arial" w:cs="Arial"/>
          <w:sz w:val="20"/>
          <w:szCs w:val="20"/>
        </w:rPr>
        <w:t xml:space="preserve">, les incidences possibles de ces requêtes n’ont pas été prises en compte </w:t>
      </w:r>
      <w:r w:rsidR="00CB0315">
        <w:rPr>
          <w:rFonts w:ascii="Arial" w:hAnsi="Arial" w:cs="Arial"/>
          <w:sz w:val="20"/>
          <w:szCs w:val="20"/>
        </w:rPr>
        <w:t>au 31 décembre 2015</w:t>
      </w:r>
      <w:r w:rsidRPr="007C23E1">
        <w:rPr>
          <w:rFonts w:ascii="Arial" w:hAnsi="Arial" w:cs="Arial"/>
          <w:sz w:val="20"/>
          <w:szCs w:val="20"/>
        </w:rPr>
        <w:t>.</w:t>
      </w:r>
    </w:p>
    <w:p w:rsidR="000C691C" w:rsidRDefault="000C691C" w:rsidP="00772A2A">
      <w:pPr>
        <w:rPr>
          <w:rFonts w:ascii="Arial" w:hAnsi="Arial" w:cs="Arial"/>
          <w:b/>
          <w:bCs/>
          <w:sz w:val="20"/>
          <w:szCs w:val="20"/>
        </w:rPr>
      </w:pPr>
      <w:r w:rsidRPr="007C23E1">
        <w:rPr>
          <w:rFonts w:ascii="Arial" w:hAnsi="Arial" w:cs="Arial"/>
          <w:b/>
          <w:bCs/>
          <w:sz w:val="20"/>
          <w:szCs w:val="20"/>
        </w:rPr>
        <w:t>Application de la Loi aux régimes de la municipalité et ses entités consolidées</w:t>
      </w:r>
    </w:p>
    <w:p w:rsidR="00966986" w:rsidRPr="007A253D" w:rsidRDefault="00966986" w:rsidP="00BF103D">
      <w:pPr>
        <w:jc w:val="both"/>
        <w:rPr>
          <w:rFonts w:ascii="Arial" w:hAnsi="Arial" w:cs="Arial"/>
          <w:bCs/>
          <w:sz w:val="20"/>
          <w:szCs w:val="20"/>
        </w:rPr>
      </w:pPr>
      <w:r w:rsidRPr="00E966A0">
        <w:rPr>
          <w:rFonts w:ascii="Arial" w:hAnsi="Arial" w:cs="Arial"/>
          <w:b/>
          <w:bCs/>
          <w:i/>
          <w:color w:val="FF0000"/>
          <w:sz w:val="20"/>
          <w:szCs w:val="20"/>
        </w:rPr>
        <w:t>(</w:t>
      </w:r>
      <w:proofErr w:type="gramStart"/>
      <w:r w:rsidRPr="00E966A0">
        <w:rPr>
          <w:rFonts w:ascii="Arial" w:hAnsi="Arial" w:cs="Arial"/>
          <w:b/>
          <w:bCs/>
          <w:i/>
          <w:color w:val="FF0000"/>
          <w:sz w:val="20"/>
          <w:szCs w:val="20"/>
        </w:rPr>
        <w:t>si</w:t>
      </w:r>
      <w:proofErr w:type="gramEnd"/>
      <w:r w:rsidRPr="00E966A0">
        <w:rPr>
          <w:rFonts w:ascii="Arial" w:hAnsi="Arial" w:cs="Arial"/>
          <w:b/>
          <w:bCs/>
          <w:i/>
          <w:color w:val="FF0000"/>
          <w:sz w:val="20"/>
          <w:szCs w:val="20"/>
        </w:rPr>
        <w:t xml:space="preserve"> applicable)</w:t>
      </w:r>
      <w:r w:rsidRPr="00E966A0">
        <w:rPr>
          <w:rFonts w:ascii="Arial" w:hAnsi="Arial" w:cs="Arial"/>
          <w:bCs/>
          <w:color w:val="FF0000"/>
          <w:sz w:val="20"/>
          <w:szCs w:val="20"/>
        </w:rPr>
        <w:t xml:space="preserve"> </w:t>
      </w:r>
      <w:r w:rsidRPr="007A253D">
        <w:rPr>
          <w:rFonts w:ascii="Arial" w:hAnsi="Arial" w:cs="Arial"/>
          <w:bCs/>
          <w:sz w:val="20"/>
          <w:szCs w:val="20"/>
        </w:rPr>
        <w:t xml:space="preserve">Suite à la préparation des états financiers de 2014, une </w:t>
      </w:r>
      <w:commentRangeStart w:id="2"/>
      <w:r w:rsidRPr="007A253D">
        <w:rPr>
          <w:rFonts w:ascii="Arial" w:hAnsi="Arial" w:cs="Arial"/>
          <w:bCs/>
          <w:sz w:val="20"/>
          <w:szCs w:val="20"/>
        </w:rPr>
        <w:t xml:space="preserve">nouvelle évaluation </w:t>
      </w:r>
      <w:commentRangeEnd w:id="2"/>
      <w:r w:rsidRPr="007A253D">
        <w:rPr>
          <w:rStyle w:val="Marquedecommentaire"/>
        </w:rPr>
        <w:commentReference w:id="2"/>
      </w:r>
      <w:r w:rsidRPr="007A253D">
        <w:rPr>
          <w:rFonts w:ascii="Arial" w:hAnsi="Arial" w:cs="Arial"/>
          <w:bCs/>
          <w:sz w:val="20"/>
          <w:szCs w:val="20"/>
        </w:rPr>
        <w:t>actuarielle a été préparée relativement à l’application de la Loi</w:t>
      </w:r>
      <w:r w:rsidR="0047156F">
        <w:rPr>
          <w:rFonts w:ascii="Arial" w:hAnsi="Arial" w:cs="Arial"/>
          <w:bCs/>
          <w:sz w:val="20"/>
          <w:szCs w:val="20"/>
        </w:rPr>
        <w:t xml:space="preserve"> pour un (certains) régime(s)</w:t>
      </w:r>
      <w:r w:rsidRPr="007A253D">
        <w:rPr>
          <w:rFonts w:ascii="Arial" w:hAnsi="Arial" w:cs="Arial"/>
          <w:bCs/>
          <w:sz w:val="20"/>
          <w:szCs w:val="20"/>
        </w:rPr>
        <w:t xml:space="preserve">, </w:t>
      </w:r>
      <w:r w:rsidR="007A253D" w:rsidRPr="00E966A0">
        <w:rPr>
          <w:rFonts w:ascii="Arial" w:hAnsi="Arial" w:cs="Arial"/>
          <w:b/>
          <w:bCs/>
          <w:i/>
          <w:color w:val="FF0000"/>
          <w:sz w:val="20"/>
          <w:szCs w:val="20"/>
        </w:rPr>
        <w:t>(</w:t>
      </w:r>
      <w:r w:rsidRPr="00E966A0">
        <w:rPr>
          <w:rFonts w:ascii="Arial" w:hAnsi="Arial" w:cs="Arial"/>
          <w:b/>
          <w:bCs/>
          <w:i/>
          <w:color w:val="FF0000"/>
          <w:sz w:val="20"/>
          <w:szCs w:val="20"/>
        </w:rPr>
        <w:t>par exemple</w:t>
      </w:r>
      <w:r w:rsidR="007A253D" w:rsidRPr="00E966A0">
        <w:rPr>
          <w:rFonts w:ascii="Arial" w:hAnsi="Arial" w:cs="Arial"/>
          <w:b/>
          <w:bCs/>
          <w:i/>
          <w:color w:val="FF0000"/>
          <w:sz w:val="20"/>
          <w:szCs w:val="20"/>
        </w:rPr>
        <w:t>)</w:t>
      </w:r>
      <w:r w:rsidRPr="00E966A0">
        <w:rPr>
          <w:rFonts w:ascii="Arial" w:hAnsi="Arial" w:cs="Arial"/>
          <w:b/>
          <w:bCs/>
          <w:i/>
          <w:color w:val="FF0000"/>
          <w:sz w:val="20"/>
          <w:szCs w:val="20"/>
        </w:rPr>
        <w:t xml:space="preserve"> </w:t>
      </w:r>
      <w:r w:rsidRPr="007A253D">
        <w:rPr>
          <w:rFonts w:ascii="Arial" w:hAnsi="Arial" w:cs="Arial"/>
          <w:bCs/>
          <w:sz w:val="20"/>
          <w:szCs w:val="20"/>
        </w:rPr>
        <w:t xml:space="preserve">à la demande de la Régie des rentes du Québec. Les résultats de l’année 2015 tiennent compte de l’effet, s’il y a lieu, des nouveaux résultats obtenus. L’ajustement apporté est le suivant : </w:t>
      </w:r>
      <w:r w:rsidRPr="00BF103D">
        <w:rPr>
          <w:rFonts w:ascii="Arial" w:hAnsi="Arial" w:cs="Arial"/>
          <w:b/>
          <w:bCs/>
          <w:i/>
          <w:color w:val="FF0000"/>
          <w:sz w:val="20"/>
          <w:szCs w:val="20"/>
        </w:rPr>
        <w:t>(à compléter)</w:t>
      </w:r>
      <w:r w:rsidR="00BF103D" w:rsidRPr="00BF103D">
        <w:rPr>
          <w:rFonts w:ascii="Arial" w:hAnsi="Arial" w:cs="Arial"/>
          <w:b/>
          <w:bCs/>
          <w:i/>
          <w:color w:val="FF0000"/>
          <w:sz w:val="20"/>
          <w:szCs w:val="20"/>
        </w:rPr>
        <w:t xml:space="preserve"> (voir annexe pour impact possible</w:t>
      </w:r>
      <w:r w:rsidR="007A253D" w:rsidRPr="00BF103D">
        <w:rPr>
          <w:rFonts w:ascii="Arial" w:hAnsi="Arial" w:cs="Arial"/>
          <w:b/>
          <w:bCs/>
          <w:i/>
          <w:color w:val="FF0000"/>
          <w:sz w:val="20"/>
          <w:szCs w:val="20"/>
        </w:rPr>
        <w:t>)</w:t>
      </w:r>
    </w:p>
    <w:p w:rsidR="00E966A0" w:rsidRDefault="00E966A0">
      <w:pPr>
        <w:jc w:val="both"/>
        <w:rPr>
          <w:rFonts w:ascii="Arial" w:hAnsi="Arial" w:cs="Arial"/>
          <w:sz w:val="20"/>
          <w:szCs w:val="20"/>
        </w:rPr>
      </w:pPr>
      <w:r w:rsidRPr="00E966A0">
        <w:rPr>
          <w:rFonts w:ascii="Arial" w:hAnsi="Arial" w:cs="Arial"/>
          <w:b/>
          <w:i/>
          <w:color w:val="FF0000"/>
          <w:sz w:val="20"/>
          <w:szCs w:val="20"/>
        </w:rPr>
        <w:t>(Aucune entente)</w:t>
      </w:r>
      <w:r w:rsidR="00D37AD6">
        <w:rPr>
          <w:rFonts w:ascii="Arial" w:hAnsi="Arial" w:cs="Arial"/>
          <w:b/>
          <w:i/>
          <w:color w:val="FF0000"/>
          <w:sz w:val="20"/>
          <w:szCs w:val="20"/>
        </w:rPr>
        <w:t xml:space="preserve"> </w:t>
      </w:r>
      <w:r w:rsidR="00774A82" w:rsidRPr="007C23E1">
        <w:rPr>
          <w:rFonts w:ascii="Arial" w:hAnsi="Arial" w:cs="Arial"/>
          <w:sz w:val="20"/>
          <w:szCs w:val="20"/>
        </w:rPr>
        <w:t>La municipalité et ses ent</w:t>
      </w:r>
      <w:r w:rsidR="00774A82">
        <w:rPr>
          <w:rFonts w:ascii="Arial" w:hAnsi="Arial" w:cs="Arial"/>
          <w:sz w:val="20"/>
          <w:szCs w:val="20"/>
        </w:rPr>
        <w:t>ités consolidées participent à X</w:t>
      </w:r>
      <w:r w:rsidR="00774A82" w:rsidRPr="007C23E1">
        <w:rPr>
          <w:rFonts w:ascii="Arial" w:hAnsi="Arial" w:cs="Arial"/>
          <w:sz w:val="20"/>
          <w:szCs w:val="20"/>
        </w:rPr>
        <w:t xml:space="preserve"> régimes de retr</w:t>
      </w:r>
      <w:r w:rsidR="00774A82">
        <w:rPr>
          <w:rFonts w:ascii="Arial" w:hAnsi="Arial" w:cs="Arial"/>
          <w:sz w:val="20"/>
          <w:szCs w:val="20"/>
        </w:rPr>
        <w:t>aite qui sont visés par la Loi qui font</w:t>
      </w:r>
      <w:r w:rsidR="00774A82" w:rsidRPr="007C23E1">
        <w:rPr>
          <w:rFonts w:ascii="Arial" w:hAnsi="Arial" w:cs="Arial"/>
          <w:sz w:val="20"/>
          <w:szCs w:val="20"/>
        </w:rPr>
        <w:t xml:space="preserve"> l’objet</w:t>
      </w:r>
      <w:r w:rsidR="00774A82">
        <w:rPr>
          <w:rFonts w:ascii="Arial" w:hAnsi="Arial" w:cs="Arial"/>
          <w:sz w:val="20"/>
          <w:szCs w:val="20"/>
        </w:rPr>
        <w:t xml:space="preserve"> du processus de négociations depui</w:t>
      </w:r>
      <w:r w:rsidR="00774A82" w:rsidRPr="007C23E1">
        <w:rPr>
          <w:rFonts w:ascii="Arial" w:hAnsi="Arial" w:cs="Arial"/>
          <w:sz w:val="20"/>
          <w:szCs w:val="20"/>
        </w:rPr>
        <w:t>s février 2015.</w:t>
      </w:r>
      <w:r w:rsidR="00774A82">
        <w:rPr>
          <w:rFonts w:ascii="Arial" w:hAnsi="Arial" w:cs="Arial"/>
          <w:sz w:val="20"/>
          <w:szCs w:val="20"/>
        </w:rPr>
        <w:t xml:space="preserve"> </w:t>
      </w:r>
      <w:r w:rsidR="0047156F">
        <w:rPr>
          <w:rFonts w:ascii="Arial" w:hAnsi="Arial" w:cs="Arial"/>
          <w:sz w:val="20"/>
          <w:szCs w:val="20"/>
        </w:rPr>
        <w:t>À moins d’entente différente à cet effet, la Loi prévoit que l</w:t>
      </w:r>
      <w:r w:rsidR="00774A82" w:rsidRPr="00774A82">
        <w:rPr>
          <w:rFonts w:ascii="Arial" w:hAnsi="Arial" w:cs="Arial"/>
          <w:sz w:val="20"/>
          <w:szCs w:val="20"/>
        </w:rPr>
        <w:t xml:space="preserve">es modalités de partage du service courant et du fonds de stabilisation s’appliquent à compter de l’entente entre les parties </w:t>
      </w:r>
      <w:r w:rsidR="00BF103D">
        <w:rPr>
          <w:rFonts w:ascii="Arial" w:hAnsi="Arial" w:cs="Arial"/>
          <w:sz w:val="20"/>
          <w:szCs w:val="20"/>
        </w:rPr>
        <w:t xml:space="preserve">ou la date de fin de la convention en vigueur pour les régimes avec report </w:t>
      </w:r>
      <w:r w:rsidR="00774A82">
        <w:rPr>
          <w:rFonts w:ascii="Arial" w:hAnsi="Arial" w:cs="Arial"/>
          <w:sz w:val="20"/>
          <w:szCs w:val="20"/>
        </w:rPr>
        <w:t>(</w:t>
      </w:r>
      <w:r w:rsidR="00774A82" w:rsidRPr="00774A82">
        <w:rPr>
          <w:rFonts w:ascii="Arial" w:hAnsi="Arial" w:cs="Arial"/>
          <w:sz w:val="20"/>
          <w:szCs w:val="20"/>
        </w:rPr>
        <w:t>sauf si les parties avaient déjà convenu de créer un fonds de stabilisation et que celui-ci est déjà en vi</w:t>
      </w:r>
      <w:r w:rsidR="00774A82" w:rsidRPr="0018231B">
        <w:rPr>
          <w:rFonts w:ascii="Arial" w:hAnsi="Arial" w:cs="Arial"/>
          <w:sz w:val="20"/>
          <w:szCs w:val="20"/>
        </w:rPr>
        <w:t>gueur).</w:t>
      </w:r>
      <w:r w:rsidR="002C519E" w:rsidRPr="0018231B">
        <w:rPr>
          <w:rFonts w:ascii="Arial" w:hAnsi="Arial" w:cs="Arial"/>
          <w:sz w:val="20"/>
          <w:szCs w:val="20"/>
        </w:rPr>
        <w:t xml:space="preserve"> À la date de la mise au point</w:t>
      </w:r>
      <w:r w:rsidR="002C519E" w:rsidRPr="00D548A3">
        <w:rPr>
          <w:rFonts w:ascii="Arial" w:hAnsi="Arial" w:cs="Arial"/>
          <w:sz w:val="20"/>
          <w:szCs w:val="20"/>
        </w:rPr>
        <w:t xml:space="preserve"> définitive d</w:t>
      </w:r>
      <w:r w:rsidR="002C519E" w:rsidRPr="0018231B">
        <w:rPr>
          <w:rFonts w:ascii="Arial" w:hAnsi="Arial" w:cs="Arial"/>
          <w:sz w:val="20"/>
          <w:szCs w:val="20"/>
        </w:rPr>
        <w:t>u rapport financier, aucune</w:t>
      </w:r>
      <w:r w:rsidR="0018231B" w:rsidRPr="00E966A0">
        <w:rPr>
          <w:rFonts w:ascii="Arial" w:hAnsi="Arial" w:cs="Arial"/>
          <w:sz w:val="20"/>
          <w:szCs w:val="20"/>
        </w:rPr>
        <w:t xml:space="preserve"> entente</w:t>
      </w:r>
      <w:r w:rsidR="002C519E" w:rsidRPr="0018231B">
        <w:rPr>
          <w:rFonts w:ascii="Arial" w:hAnsi="Arial" w:cs="Arial"/>
          <w:sz w:val="20"/>
          <w:szCs w:val="20"/>
        </w:rPr>
        <w:t xml:space="preserve"> n’</w:t>
      </w:r>
      <w:r w:rsidR="0018231B" w:rsidRPr="00E966A0">
        <w:rPr>
          <w:rFonts w:ascii="Arial" w:hAnsi="Arial" w:cs="Arial"/>
          <w:sz w:val="20"/>
          <w:szCs w:val="20"/>
        </w:rPr>
        <w:t>a été conclue</w:t>
      </w:r>
      <w:r w:rsidR="006B442D">
        <w:rPr>
          <w:rFonts w:ascii="Arial" w:hAnsi="Arial" w:cs="Arial"/>
          <w:sz w:val="20"/>
          <w:szCs w:val="20"/>
        </w:rPr>
        <w:t>. (note 1)</w:t>
      </w:r>
    </w:p>
    <w:p w:rsidR="00BF103D" w:rsidRDefault="00E966A0" w:rsidP="00BF103D">
      <w:pPr>
        <w:jc w:val="both"/>
        <w:rPr>
          <w:rFonts w:ascii="Arial" w:hAnsi="Arial" w:cs="Arial"/>
          <w:sz w:val="20"/>
          <w:szCs w:val="20"/>
        </w:rPr>
      </w:pPr>
      <w:r>
        <w:rPr>
          <w:rFonts w:ascii="Arial" w:hAnsi="Arial" w:cs="Arial"/>
          <w:b/>
          <w:i/>
          <w:color w:val="FF0000"/>
          <w:sz w:val="20"/>
          <w:szCs w:val="20"/>
        </w:rPr>
        <w:lastRenderedPageBreak/>
        <w:t>(</w:t>
      </w:r>
      <w:r w:rsidRPr="00E966A0">
        <w:rPr>
          <w:rFonts w:ascii="Arial" w:hAnsi="Arial" w:cs="Arial"/>
          <w:b/>
          <w:i/>
          <w:color w:val="FF0000"/>
          <w:sz w:val="20"/>
          <w:szCs w:val="20"/>
        </w:rPr>
        <w:t>Avec entente</w:t>
      </w:r>
      <w:r>
        <w:rPr>
          <w:rFonts w:ascii="Arial" w:hAnsi="Arial" w:cs="Arial"/>
          <w:b/>
          <w:i/>
          <w:color w:val="FF0000"/>
          <w:sz w:val="20"/>
          <w:szCs w:val="20"/>
        </w:rPr>
        <w:t>)</w:t>
      </w:r>
      <w:r>
        <w:rPr>
          <w:rFonts w:ascii="Arial" w:hAnsi="Arial" w:cs="Arial"/>
          <w:sz w:val="20"/>
          <w:szCs w:val="20"/>
        </w:rPr>
        <w:t xml:space="preserve"> </w:t>
      </w:r>
      <w:r w:rsidRPr="00E966A0">
        <w:rPr>
          <w:rFonts w:ascii="Arial" w:hAnsi="Arial" w:cs="Arial"/>
          <w:sz w:val="20"/>
          <w:szCs w:val="20"/>
        </w:rPr>
        <w:t xml:space="preserve">La municipalité et ses entités consolidées ont finalisé des ententes pour X de ses régimes de retraite. L’effet sur les modalités de partage du service courant </w:t>
      </w:r>
      <w:r>
        <w:rPr>
          <w:rFonts w:ascii="Arial" w:hAnsi="Arial" w:cs="Arial"/>
          <w:sz w:val="20"/>
          <w:szCs w:val="20"/>
        </w:rPr>
        <w:t>et du fonds de stabilisation a été appliqué</w:t>
      </w:r>
      <w:r w:rsidRPr="00E966A0">
        <w:rPr>
          <w:rFonts w:ascii="Arial" w:hAnsi="Arial" w:cs="Arial"/>
          <w:sz w:val="20"/>
          <w:szCs w:val="20"/>
        </w:rPr>
        <w:t xml:space="preserve"> conformément avec les dispositions de la Loi et des dispositions de l’entente conclue. Cette entente n’a pas d’incidence </w:t>
      </w:r>
      <w:r w:rsidRPr="00E966A0">
        <w:rPr>
          <w:rFonts w:ascii="Arial" w:hAnsi="Arial" w:cs="Arial"/>
          <w:b/>
          <w:i/>
          <w:color w:val="FF0000"/>
          <w:sz w:val="20"/>
          <w:szCs w:val="20"/>
        </w:rPr>
        <w:t xml:space="preserve">(OU a une incidence) </w:t>
      </w:r>
      <w:r w:rsidR="00BF103D" w:rsidRPr="00BF103D">
        <w:rPr>
          <w:rFonts w:ascii="Arial" w:hAnsi="Arial" w:cs="Arial"/>
          <w:b/>
          <w:bCs/>
          <w:i/>
          <w:color w:val="FF0000"/>
          <w:sz w:val="20"/>
          <w:szCs w:val="20"/>
        </w:rPr>
        <w:t>(</w:t>
      </w:r>
      <w:r w:rsidR="00BF103D">
        <w:rPr>
          <w:rFonts w:ascii="Arial" w:hAnsi="Arial" w:cs="Arial"/>
          <w:b/>
          <w:bCs/>
          <w:i/>
          <w:color w:val="FF0000"/>
          <w:sz w:val="20"/>
          <w:szCs w:val="20"/>
        </w:rPr>
        <w:t>voir annexe pour exemple de présentation</w:t>
      </w:r>
      <w:r w:rsidR="00BF103D" w:rsidRPr="00BF103D">
        <w:rPr>
          <w:rFonts w:ascii="Arial" w:hAnsi="Arial" w:cs="Arial"/>
          <w:b/>
          <w:bCs/>
          <w:i/>
          <w:color w:val="FF0000"/>
          <w:sz w:val="20"/>
          <w:szCs w:val="20"/>
        </w:rPr>
        <w:t>)</w:t>
      </w:r>
      <w:r w:rsidR="00BF103D">
        <w:rPr>
          <w:rFonts w:ascii="Arial" w:hAnsi="Arial" w:cs="Arial"/>
          <w:b/>
          <w:bCs/>
          <w:i/>
          <w:color w:val="FF0000"/>
          <w:sz w:val="20"/>
          <w:szCs w:val="20"/>
        </w:rPr>
        <w:t xml:space="preserve"> </w:t>
      </w:r>
      <w:r w:rsidRPr="00E966A0">
        <w:rPr>
          <w:rFonts w:ascii="Arial" w:hAnsi="Arial" w:cs="Arial"/>
          <w:sz w:val="20"/>
          <w:szCs w:val="20"/>
        </w:rPr>
        <w:t>sur les résultats de l’exercice terminé le 31 décembre 2015</w:t>
      </w:r>
      <w:r>
        <w:rPr>
          <w:rFonts w:ascii="Arial" w:hAnsi="Arial" w:cs="Arial"/>
          <w:sz w:val="20"/>
          <w:szCs w:val="20"/>
        </w:rPr>
        <w:t>.</w:t>
      </w:r>
    </w:p>
    <w:p w:rsidR="00BF103D" w:rsidRDefault="00BF103D" w:rsidP="00BF103D">
      <w:pPr>
        <w:jc w:val="both"/>
        <w:rPr>
          <w:rFonts w:ascii="Arial" w:hAnsi="Arial" w:cs="Arial"/>
          <w:sz w:val="20"/>
          <w:szCs w:val="20"/>
        </w:rPr>
      </w:pPr>
      <w:r w:rsidRPr="00774A82">
        <w:rPr>
          <w:rFonts w:ascii="Arial" w:hAnsi="Arial" w:cs="Arial"/>
          <w:sz w:val="20"/>
          <w:szCs w:val="20"/>
        </w:rPr>
        <w:t>Les incidences du partage du déficit des participants retraités n’ont pas été prises en compte au 31 décembre 2015</w:t>
      </w:r>
      <w:r>
        <w:rPr>
          <w:rFonts w:ascii="Arial" w:hAnsi="Arial" w:cs="Arial"/>
          <w:sz w:val="20"/>
          <w:szCs w:val="20"/>
        </w:rPr>
        <w:t>.</w:t>
      </w:r>
      <w:r w:rsidR="001F1599">
        <w:rPr>
          <w:rFonts w:ascii="Arial" w:hAnsi="Arial" w:cs="Arial"/>
          <w:sz w:val="20"/>
          <w:szCs w:val="20"/>
        </w:rPr>
        <w:t xml:space="preserve"> </w:t>
      </w:r>
      <w:r>
        <w:rPr>
          <w:rFonts w:ascii="Arial" w:hAnsi="Arial" w:cs="Arial"/>
          <w:sz w:val="20"/>
          <w:szCs w:val="20"/>
        </w:rPr>
        <w:t>C</w:t>
      </w:r>
      <w:r w:rsidRPr="00774A82">
        <w:rPr>
          <w:rFonts w:ascii="Arial" w:hAnsi="Arial" w:cs="Arial"/>
          <w:sz w:val="20"/>
          <w:szCs w:val="20"/>
        </w:rPr>
        <w:t>e partage dépend notamment d’une décision future de la municipalité et de la situation financière du régime en date du 31 décembre 2015.</w:t>
      </w:r>
      <w:r>
        <w:rPr>
          <w:rFonts w:ascii="Arial" w:hAnsi="Arial" w:cs="Arial"/>
          <w:sz w:val="20"/>
          <w:szCs w:val="20"/>
        </w:rPr>
        <w:t xml:space="preserve"> À la date de la mise au point définitive du rapport financier, aucune décision n’a été prise à cet égard.</w:t>
      </w:r>
      <w:r w:rsidR="001F1599">
        <w:rPr>
          <w:rFonts w:ascii="Arial" w:hAnsi="Arial" w:cs="Arial"/>
          <w:sz w:val="20"/>
          <w:szCs w:val="20"/>
        </w:rPr>
        <w:t xml:space="preserve"> </w:t>
      </w:r>
      <w:r>
        <w:rPr>
          <w:rFonts w:ascii="Arial" w:hAnsi="Arial" w:cs="Arial"/>
          <w:sz w:val="20"/>
          <w:szCs w:val="20"/>
        </w:rPr>
        <w:t>(</w:t>
      </w:r>
      <w:proofErr w:type="gramStart"/>
      <w:r>
        <w:rPr>
          <w:rFonts w:ascii="Arial" w:hAnsi="Arial" w:cs="Arial"/>
          <w:sz w:val="20"/>
          <w:szCs w:val="20"/>
        </w:rPr>
        <w:t>note</w:t>
      </w:r>
      <w:proofErr w:type="gramEnd"/>
      <w:r>
        <w:rPr>
          <w:rFonts w:ascii="Arial" w:hAnsi="Arial" w:cs="Arial"/>
          <w:sz w:val="20"/>
          <w:szCs w:val="20"/>
        </w:rPr>
        <w:t xml:space="preserve"> 1) </w:t>
      </w:r>
      <w:r w:rsidRPr="007A253D">
        <w:rPr>
          <w:rFonts w:ascii="Arial" w:hAnsi="Arial" w:cs="Arial"/>
          <w:i/>
          <w:color w:val="FF0000"/>
          <w:sz w:val="20"/>
          <w:szCs w:val="20"/>
        </w:rPr>
        <w:t>(Retirer si aucun</w:t>
      </w:r>
      <w:r w:rsidR="001F1599">
        <w:rPr>
          <w:rFonts w:ascii="Arial" w:hAnsi="Arial" w:cs="Arial"/>
          <w:i/>
          <w:color w:val="FF0000"/>
          <w:sz w:val="20"/>
          <w:szCs w:val="20"/>
        </w:rPr>
        <w:t>e</w:t>
      </w:r>
      <w:r w:rsidRPr="007A253D">
        <w:rPr>
          <w:rFonts w:ascii="Arial" w:hAnsi="Arial" w:cs="Arial"/>
          <w:i/>
          <w:color w:val="FF0000"/>
          <w:sz w:val="20"/>
          <w:szCs w:val="20"/>
        </w:rPr>
        <w:t xml:space="preserve"> clause d’indexation automatique)</w:t>
      </w:r>
    </w:p>
    <w:p w:rsidR="007A253D" w:rsidRPr="00AD3B73" w:rsidRDefault="000677C1" w:rsidP="00BF103D">
      <w:pPr>
        <w:jc w:val="both"/>
        <w:rPr>
          <w:rFonts w:ascii="Arial" w:hAnsi="Arial" w:cs="Arial"/>
          <w:i/>
          <w:sz w:val="20"/>
          <w:szCs w:val="20"/>
        </w:rPr>
      </w:pPr>
      <w:r w:rsidRPr="00AD3B73">
        <w:rPr>
          <w:rFonts w:ascii="Arial" w:hAnsi="Arial" w:cs="Arial"/>
          <w:i/>
          <w:sz w:val="20"/>
          <w:szCs w:val="20"/>
        </w:rPr>
        <w:t xml:space="preserve">Note 1 : </w:t>
      </w:r>
      <w:r w:rsidR="007A253D" w:rsidRPr="00AD3B73">
        <w:rPr>
          <w:rFonts w:ascii="Arial" w:hAnsi="Arial" w:cs="Arial"/>
          <w:i/>
          <w:sz w:val="20"/>
          <w:szCs w:val="20"/>
        </w:rPr>
        <w:t xml:space="preserve">Si l’entente a été </w:t>
      </w:r>
      <w:r w:rsidR="00BF103D" w:rsidRPr="00AD3B73">
        <w:rPr>
          <w:rFonts w:ascii="Arial" w:hAnsi="Arial" w:cs="Arial"/>
          <w:i/>
          <w:sz w:val="20"/>
          <w:szCs w:val="20"/>
        </w:rPr>
        <w:t>signée</w:t>
      </w:r>
      <w:r w:rsidR="007A253D" w:rsidRPr="00AD3B73">
        <w:rPr>
          <w:rFonts w:ascii="Arial" w:hAnsi="Arial" w:cs="Arial"/>
          <w:i/>
          <w:sz w:val="20"/>
          <w:szCs w:val="20"/>
        </w:rPr>
        <w:t xml:space="preserve"> entre la date de fin d’exercice et la date de signature, évaluer l’impact de cette entente et l’information à four</w:t>
      </w:r>
      <w:r w:rsidR="001F1599">
        <w:rPr>
          <w:rFonts w:ascii="Arial" w:hAnsi="Arial" w:cs="Arial"/>
          <w:i/>
          <w:sz w:val="20"/>
          <w:szCs w:val="20"/>
        </w:rPr>
        <w:t>nir en fonction de la NCA 560.</w:t>
      </w:r>
    </w:p>
    <w:p w:rsidR="007A253D" w:rsidRPr="001F1599" w:rsidRDefault="007A253D" w:rsidP="001F1599">
      <w:pPr>
        <w:rPr>
          <w:rFonts w:ascii="Arial" w:hAnsi="Arial" w:cs="Arial"/>
          <w:sz w:val="20"/>
          <w:szCs w:val="20"/>
        </w:rPr>
      </w:pPr>
    </w:p>
    <w:p w:rsidR="000677C1" w:rsidRDefault="000677C1">
      <w:pPr>
        <w:spacing w:after="0" w:line="240" w:lineRule="auto"/>
        <w:rPr>
          <w:rFonts w:asciiTheme="majorHAnsi" w:eastAsiaTheme="majorEastAsia" w:hAnsiTheme="majorHAnsi" w:cstheme="majorBidi"/>
          <w:b/>
          <w:bCs/>
          <w:color w:val="365F91" w:themeColor="accent1" w:themeShade="BF"/>
          <w:sz w:val="28"/>
          <w:szCs w:val="28"/>
        </w:rPr>
      </w:pPr>
      <w:r>
        <w:br w:type="page"/>
      </w:r>
    </w:p>
    <w:p w:rsidR="007A253D" w:rsidRPr="008B71FA" w:rsidRDefault="007A253D" w:rsidP="0078229C">
      <w:pPr>
        <w:pStyle w:val="Titre1"/>
        <w:jc w:val="both"/>
        <w:rPr>
          <w:rFonts w:ascii="Arial" w:hAnsi="Arial" w:cs="Arial"/>
        </w:rPr>
      </w:pPr>
      <w:r w:rsidRPr="008B71FA">
        <w:rPr>
          <w:rFonts w:ascii="Arial" w:hAnsi="Arial" w:cs="Arial"/>
        </w:rPr>
        <w:lastRenderedPageBreak/>
        <w:t>Exemple</w:t>
      </w:r>
      <w:r w:rsidR="0078229C" w:rsidRPr="008B71FA">
        <w:rPr>
          <w:rFonts w:ascii="Arial" w:hAnsi="Arial" w:cs="Arial"/>
        </w:rPr>
        <w:t>s</w:t>
      </w:r>
      <w:r w:rsidRPr="008B71FA">
        <w:rPr>
          <w:rFonts w:ascii="Arial" w:hAnsi="Arial" w:cs="Arial"/>
        </w:rPr>
        <w:t xml:space="preserve"> d’impact</w:t>
      </w:r>
      <w:r w:rsidR="0078229C" w:rsidRPr="008B71FA">
        <w:rPr>
          <w:rFonts w:ascii="Arial" w:hAnsi="Arial" w:cs="Arial"/>
        </w:rPr>
        <w:t>s</w:t>
      </w:r>
      <w:r w:rsidRPr="008B71FA">
        <w:rPr>
          <w:rFonts w:ascii="Arial" w:hAnsi="Arial" w:cs="Arial"/>
        </w:rPr>
        <w:t xml:space="preserve"> pouvant être utilisé</w:t>
      </w:r>
      <w:r w:rsidR="0078229C" w:rsidRPr="008B71FA">
        <w:rPr>
          <w:rFonts w:ascii="Arial" w:hAnsi="Arial" w:cs="Arial"/>
        </w:rPr>
        <w:t>s</w:t>
      </w:r>
      <w:r w:rsidRPr="008B71FA">
        <w:rPr>
          <w:rFonts w:ascii="Arial" w:hAnsi="Arial" w:cs="Arial"/>
        </w:rPr>
        <w:t xml:space="preserve"> </w:t>
      </w:r>
      <w:r w:rsidR="0047156F" w:rsidRPr="008B71FA">
        <w:rPr>
          <w:rFonts w:ascii="Arial" w:hAnsi="Arial" w:cs="Arial"/>
        </w:rPr>
        <w:t>(pour une reprise d’évaluation déjà déposée ou ententes conclues) – ajuster selon les besoins pour refléte</w:t>
      </w:r>
      <w:r w:rsidR="00AD3B73" w:rsidRPr="008B71FA">
        <w:rPr>
          <w:rFonts w:ascii="Arial" w:hAnsi="Arial" w:cs="Arial"/>
        </w:rPr>
        <w:t>r</w:t>
      </w:r>
      <w:r w:rsidR="0047156F" w:rsidRPr="008B71FA">
        <w:rPr>
          <w:rFonts w:ascii="Arial" w:hAnsi="Arial" w:cs="Arial"/>
        </w:rPr>
        <w:t xml:space="preserve"> les nouveaux éléments de 2015</w:t>
      </w:r>
    </w:p>
    <w:p w:rsidR="008B71FA" w:rsidRPr="008B71FA" w:rsidRDefault="008B71FA" w:rsidP="008B71FA">
      <w:pPr>
        <w:spacing w:after="0"/>
      </w:pPr>
    </w:p>
    <w:p w:rsidR="007A253D" w:rsidRPr="0093718A" w:rsidRDefault="007A253D" w:rsidP="007A253D">
      <w:pPr>
        <w:pStyle w:val="Paragraphedeliste"/>
        <w:numPr>
          <w:ilvl w:val="0"/>
          <w:numId w:val="5"/>
        </w:numPr>
        <w:rPr>
          <w:rFonts w:ascii="Arial" w:hAnsi="Arial" w:cs="Arial"/>
          <w:sz w:val="20"/>
          <w:szCs w:val="20"/>
        </w:rPr>
      </w:pPr>
      <w:r w:rsidRPr="0093718A">
        <w:rPr>
          <w:rFonts w:ascii="Arial" w:hAnsi="Arial" w:cs="Arial"/>
          <w:sz w:val="20"/>
          <w:szCs w:val="20"/>
        </w:rPr>
        <w:t>Élimination de l’indexation automatique des rentes de retraite et de la prestation additionnelle des participants actifs (a) :</w:t>
      </w:r>
    </w:p>
    <w:p w:rsidR="007A253D" w:rsidRPr="0093718A" w:rsidRDefault="007A253D" w:rsidP="008B71FA">
      <w:pPr>
        <w:pStyle w:val="Paragraphedeliste"/>
        <w:numPr>
          <w:ilvl w:val="1"/>
          <w:numId w:val="9"/>
        </w:numPr>
        <w:ind w:left="686" w:hanging="294"/>
        <w:rPr>
          <w:rFonts w:ascii="Arial" w:hAnsi="Arial" w:cs="Arial"/>
          <w:sz w:val="20"/>
          <w:szCs w:val="20"/>
        </w:rPr>
      </w:pPr>
      <w:r w:rsidRPr="0093718A">
        <w:rPr>
          <w:rFonts w:ascii="Arial" w:hAnsi="Arial" w:cs="Arial"/>
          <w:sz w:val="20"/>
          <w:szCs w:val="20"/>
        </w:rPr>
        <w:t>Incidence sur le coût des services passés (</w:t>
      </w:r>
      <w:r w:rsidR="000677C1">
        <w:rPr>
          <w:rFonts w:ascii="Arial" w:hAnsi="Arial" w:cs="Arial"/>
          <w:sz w:val="20"/>
          <w:szCs w:val="20"/>
        </w:rPr>
        <w:t>e</w:t>
      </w:r>
      <w:r w:rsidRPr="0093718A">
        <w:rPr>
          <w:rFonts w:ascii="Arial" w:hAnsi="Arial" w:cs="Arial"/>
          <w:sz w:val="20"/>
          <w:szCs w:val="20"/>
        </w:rPr>
        <w:t>) : (2 M$) mais 0,5 M$ maintenu en réserve</w:t>
      </w:r>
    </w:p>
    <w:p w:rsidR="007A253D" w:rsidRPr="0093718A" w:rsidRDefault="007A253D" w:rsidP="008B71FA">
      <w:pPr>
        <w:pStyle w:val="Paragraphedeliste"/>
        <w:numPr>
          <w:ilvl w:val="1"/>
          <w:numId w:val="9"/>
        </w:numPr>
        <w:ind w:left="686" w:hanging="294"/>
        <w:rPr>
          <w:rFonts w:ascii="Arial" w:hAnsi="Arial" w:cs="Arial"/>
          <w:sz w:val="20"/>
          <w:szCs w:val="20"/>
        </w:rPr>
      </w:pPr>
      <w:r w:rsidRPr="0093718A">
        <w:rPr>
          <w:rFonts w:ascii="Arial" w:hAnsi="Arial" w:cs="Arial"/>
          <w:sz w:val="20"/>
          <w:szCs w:val="20"/>
        </w:rPr>
        <w:t>Pertes actuarielles nettes constatées en contrepartie (h) : 1,5 M$</w:t>
      </w:r>
    </w:p>
    <w:p w:rsidR="007A253D" w:rsidRDefault="007A253D" w:rsidP="008B71FA">
      <w:pPr>
        <w:pStyle w:val="Paragraphedeliste"/>
        <w:numPr>
          <w:ilvl w:val="1"/>
          <w:numId w:val="9"/>
        </w:numPr>
        <w:spacing w:after="0"/>
        <w:ind w:left="686" w:hanging="294"/>
        <w:rPr>
          <w:rFonts w:ascii="Arial" w:hAnsi="Arial" w:cs="Arial"/>
          <w:sz w:val="20"/>
          <w:szCs w:val="20"/>
        </w:rPr>
      </w:pPr>
      <w:r w:rsidRPr="0093718A">
        <w:rPr>
          <w:rFonts w:ascii="Arial" w:hAnsi="Arial" w:cs="Arial"/>
          <w:sz w:val="20"/>
          <w:szCs w:val="20"/>
        </w:rPr>
        <w:t>Incidence sur le coût du service courant de l’exercice : (0,3 M$)</w:t>
      </w:r>
    </w:p>
    <w:p w:rsidR="008B71FA" w:rsidRPr="008B71FA" w:rsidRDefault="008B71FA" w:rsidP="008B71FA">
      <w:pPr>
        <w:spacing w:after="0"/>
        <w:rPr>
          <w:rFonts w:ascii="Arial" w:hAnsi="Arial" w:cs="Arial"/>
          <w:sz w:val="20"/>
          <w:szCs w:val="20"/>
        </w:rPr>
      </w:pPr>
    </w:p>
    <w:p w:rsidR="007A253D" w:rsidRPr="0093718A" w:rsidRDefault="007A253D" w:rsidP="007A253D">
      <w:pPr>
        <w:pStyle w:val="Paragraphedeliste"/>
        <w:numPr>
          <w:ilvl w:val="0"/>
          <w:numId w:val="5"/>
        </w:numPr>
        <w:rPr>
          <w:rFonts w:ascii="Arial" w:hAnsi="Arial" w:cs="Arial"/>
          <w:sz w:val="20"/>
          <w:szCs w:val="20"/>
        </w:rPr>
      </w:pPr>
      <w:r w:rsidRPr="0093718A">
        <w:rPr>
          <w:rFonts w:ascii="Arial" w:hAnsi="Arial" w:cs="Arial"/>
          <w:sz w:val="20"/>
          <w:szCs w:val="20"/>
        </w:rPr>
        <w:t>Partage du déficit des participants actifs, au-delà de l’indexation automatique et de la prestation additionnelle (b) :</w:t>
      </w:r>
    </w:p>
    <w:p w:rsidR="007A253D" w:rsidRPr="0093718A" w:rsidRDefault="007A253D" w:rsidP="000C0D65">
      <w:pPr>
        <w:pStyle w:val="Paragraphedeliste"/>
        <w:numPr>
          <w:ilvl w:val="1"/>
          <w:numId w:val="9"/>
        </w:numPr>
        <w:ind w:left="686" w:hanging="294"/>
        <w:rPr>
          <w:rFonts w:ascii="Arial" w:hAnsi="Arial" w:cs="Arial"/>
          <w:sz w:val="20"/>
          <w:szCs w:val="20"/>
        </w:rPr>
      </w:pPr>
      <w:r w:rsidRPr="0093718A">
        <w:rPr>
          <w:rFonts w:ascii="Arial" w:hAnsi="Arial" w:cs="Arial"/>
          <w:sz w:val="20"/>
          <w:szCs w:val="20"/>
        </w:rPr>
        <w:t>Incidence sur le coût des services passés (</w:t>
      </w:r>
      <w:r w:rsidR="000677C1">
        <w:rPr>
          <w:rFonts w:ascii="Arial" w:hAnsi="Arial" w:cs="Arial"/>
          <w:sz w:val="20"/>
          <w:szCs w:val="20"/>
        </w:rPr>
        <w:t>e</w:t>
      </w:r>
      <w:r w:rsidRPr="0093718A">
        <w:rPr>
          <w:rFonts w:ascii="Arial" w:hAnsi="Arial" w:cs="Arial"/>
          <w:sz w:val="20"/>
          <w:szCs w:val="20"/>
        </w:rPr>
        <w:t>) : S.O.</w:t>
      </w:r>
    </w:p>
    <w:p w:rsidR="007A253D" w:rsidRPr="0093718A" w:rsidRDefault="007A253D" w:rsidP="000C0D65">
      <w:pPr>
        <w:pStyle w:val="Paragraphedeliste"/>
        <w:numPr>
          <w:ilvl w:val="1"/>
          <w:numId w:val="9"/>
        </w:numPr>
        <w:ind w:left="686" w:hanging="294"/>
        <w:rPr>
          <w:rFonts w:ascii="Arial" w:hAnsi="Arial" w:cs="Arial"/>
          <w:sz w:val="20"/>
          <w:szCs w:val="20"/>
        </w:rPr>
      </w:pPr>
      <w:r w:rsidRPr="0093718A">
        <w:rPr>
          <w:rFonts w:ascii="Arial" w:hAnsi="Arial" w:cs="Arial"/>
          <w:sz w:val="20"/>
          <w:szCs w:val="20"/>
        </w:rPr>
        <w:t>Pertes actuarielles nettes constatées en contrepartie (</w:t>
      </w:r>
      <w:r w:rsidR="000677C1">
        <w:rPr>
          <w:rFonts w:ascii="Arial" w:hAnsi="Arial" w:cs="Arial"/>
          <w:sz w:val="20"/>
          <w:szCs w:val="20"/>
        </w:rPr>
        <w:t>f</w:t>
      </w:r>
      <w:r w:rsidRPr="0093718A">
        <w:rPr>
          <w:rFonts w:ascii="Arial" w:hAnsi="Arial" w:cs="Arial"/>
          <w:sz w:val="20"/>
          <w:szCs w:val="20"/>
        </w:rPr>
        <w:t>) : S.O.</w:t>
      </w:r>
    </w:p>
    <w:p w:rsidR="007A253D" w:rsidRDefault="007A253D" w:rsidP="000C0D65">
      <w:pPr>
        <w:pStyle w:val="Paragraphedeliste"/>
        <w:numPr>
          <w:ilvl w:val="1"/>
          <w:numId w:val="9"/>
        </w:numPr>
        <w:spacing w:after="0"/>
        <w:ind w:left="686" w:hanging="294"/>
        <w:rPr>
          <w:rFonts w:ascii="Arial" w:hAnsi="Arial" w:cs="Arial"/>
          <w:sz w:val="20"/>
          <w:szCs w:val="20"/>
        </w:rPr>
      </w:pPr>
      <w:r w:rsidRPr="0093718A">
        <w:rPr>
          <w:rFonts w:ascii="Arial" w:hAnsi="Arial" w:cs="Arial"/>
          <w:sz w:val="20"/>
          <w:szCs w:val="20"/>
        </w:rPr>
        <w:t>Incidence sur le coût du service courant de l’exercice : aucune</w:t>
      </w:r>
    </w:p>
    <w:p w:rsidR="000C0D65" w:rsidRPr="000C0D65" w:rsidRDefault="000C0D65" w:rsidP="000C0D65">
      <w:pPr>
        <w:spacing w:after="0"/>
        <w:rPr>
          <w:rFonts w:ascii="Arial" w:hAnsi="Arial" w:cs="Arial"/>
          <w:sz w:val="20"/>
          <w:szCs w:val="20"/>
        </w:rPr>
      </w:pPr>
    </w:p>
    <w:p w:rsidR="007A253D" w:rsidRPr="0093718A" w:rsidRDefault="007A253D" w:rsidP="007A253D">
      <w:pPr>
        <w:pStyle w:val="Paragraphedeliste"/>
        <w:numPr>
          <w:ilvl w:val="0"/>
          <w:numId w:val="5"/>
        </w:numPr>
        <w:rPr>
          <w:rFonts w:ascii="Arial" w:hAnsi="Arial" w:cs="Arial"/>
          <w:sz w:val="20"/>
          <w:szCs w:val="20"/>
        </w:rPr>
      </w:pPr>
      <w:r w:rsidRPr="0093718A">
        <w:rPr>
          <w:rFonts w:ascii="Arial" w:hAnsi="Arial" w:cs="Arial"/>
          <w:sz w:val="20"/>
          <w:szCs w:val="20"/>
        </w:rPr>
        <w:t>Partage du défici</w:t>
      </w:r>
      <w:r w:rsidR="000677C1">
        <w:rPr>
          <w:rFonts w:ascii="Arial" w:hAnsi="Arial" w:cs="Arial"/>
          <w:sz w:val="20"/>
          <w:szCs w:val="20"/>
        </w:rPr>
        <w:t>t des participants retraités</w:t>
      </w:r>
      <w:r w:rsidRPr="0093718A">
        <w:rPr>
          <w:rFonts w:ascii="Arial" w:hAnsi="Arial" w:cs="Arial"/>
          <w:sz w:val="20"/>
          <w:szCs w:val="20"/>
        </w:rPr>
        <w:t> :</w:t>
      </w:r>
    </w:p>
    <w:p w:rsidR="007A253D" w:rsidRPr="0093718A" w:rsidRDefault="007A253D" w:rsidP="000C0D65">
      <w:pPr>
        <w:pStyle w:val="Paragraphedeliste"/>
        <w:numPr>
          <w:ilvl w:val="1"/>
          <w:numId w:val="9"/>
        </w:numPr>
        <w:ind w:left="686" w:hanging="294"/>
        <w:rPr>
          <w:rFonts w:ascii="Arial" w:hAnsi="Arial" w:cs="Arial"/>
          <w:sz w:val="20"/>
          <w:szCs w:val="20"/>
        </w:rPr>
      </w:pPr>
      <w:r w:rsidRPr="0093718A">
        <w:rPr>
          <w:rFonts w:ascii="Arial" w:hAnsi="Arial" w:cs="Arial"/>
          <w:sz w:val="20"/>
          <w:szCs w:val="20"/>
        </w:rPr>
        <w:t>Incidence sur le coût des services passés (</w:t>
      </w:r>
      <w:r w:rsidR="000677C1">
        <w:rPr>
          <w:rFonts w:ascii="Arial" w:hAnsi="Arial" w:cs="Arial"/>
          <w:sz w:val="20"/>
          <w:szCs w:val="20"/>
        </w:rPr>
        <w:t>e</w:t>
      </w:r>
      <w:r w:rsidRPr="0093718A">
        <w:rPr>
          <w:rFonts w:ascii="Arial" w:hAnsi="Arial" w:cs="Arial"/>
          <w:sz w:val="20"/>
          <w:szCs w:val="20"/>
        </w:rPr>
        <w:t>) : S.O.</w:t>
      </w:r>
    </w:p>
    <w:p w:rsidR="007A253D" w:rsidRPr="0093718A" w:rsidRDefault="007A253D" w:rsidP="000C0D65">
      <w:pPr>
        <w:pStyle w:val="Paragraphedeliste"/>
        <w:numPr>
          <w:ilvl w:val="1"/>
          <w:numId w:val="9"/>
        </w:numPr>
        <w:ind w:left="686" w:hanging="294"/>
        <w:rPr>
          <w:rFonts w:ascii="Arial" w:hAnsi="Arial" w:cs="Arial"/>
          <w:sz w:val="20"/>
          <w:szCs w:val="20"/>
        </w:rPr>
      </w:pPr>
      <w:r w:rsidRPr="0093718A">
        <w:rPr>
          <w:rFonts w:ascii="Arial" w:hAnsi="Arial" w:cs="Arial"/>
          <w:sz w:val="20"/>
          <w:szCs w:val="20"/>
        </w:rPr>
        <w:t>Pertes actuarielles nettes constatées en contrepartie (</w:t>
      </w:r>
      <w:r w:rsidR="000677C1">
        <w:rPr>
          <w:rFonts w:ascii="Arial" w:hAnsi="Arial" w:cs="Arial"/>
          <w:sz w:val="20"/>
          <w:szCs w:val="20"/>
        </w:rPr>
        <w:t>f</w:t>
      </w:r>
      <w:r w:rsidRPr="0093718A">
        <w:rPr>
          <w:rFonts w:ascii="Arial" w:hAnsi="Arial" w:cs="Arial"/>
          <w:sz w:val="20"/>
          <w:szCs w:val="20"/>
        </w:rPr>
        <w:t>) : S.O.</w:t>
      </w:r>
    </w:p>
    <w:p w:rsidR="007A253D" w:rsidRDefault="007A253D" w:rsidP="000C0D65">
      <w:pPr>
        <w:pStyle w:val="Paragraphedeliste"/>
        <w:numPr>
          <w:ilvl w:val="1"/>
          <w:numId w:val="9"/>
        </w:numPr>
        <w:spacing w:after="0"/>
        <w:ind w:left="686" w:hanging="294"/>
        <w:rPr>
          <w:rFonts w:ascii="Arial" w:hAnsi="Arial" w:cs="Arial"/>
          <w:sz w:val="20"/>
          <w:szCs w:val="20"/>
        </w:rPr>
      </w:pPr>
      <w:r w:rsidRPr="0093718A">
        <w:rPr>
          <w:rFonts w:ascii="Arial" w:hAnsi="Arial" w:cs="Arial"/>
          <w:sz w:val="20"/>
          <w:szCs w:val="20"/>
        </w:rPr>
        <w:t>Incidence sur le coût du servic</w:t>
      </w:r>
      <w:r w:rsidR="006E4201">
        <w:rPr>
          <w:rFonts w:ascii="Arial" w:hAnsi="Arial" w:cs="Arial"/>
          <w:sz w:val="20"/>
          <w:szCs w:val="20"/>
        </w:rPr>
        <w:t>e courant de l’exercice : aucun</w:t>
      </w:r>
    </w:p>
    <w:p w:rsidR="000C0D65" w:rsidRPr="000C0D65" w:rsidRDefault="000C0D65" w:rsidP="006E4201">
      <w:pPr>
        <w:spacing w:after="0"/>
        <w:rPr>
          <w:rFonts w:ascii="Arial" w:hAnsi="Arial" w:cs="Arial"/>
          <w:sz w:val="20"/>
          <w:szCs w:val="20"/>
        </w:rPr>
      </w:pPr>
    </w:p>
    <w:p w:rsidR="007A253D" w:rsidRPr="0093718A" w:rsidRDefault="000677C1" w:rsidP="007A253D">
      <w:pPr>
        <w:pStyle w:val="Paragraphedeliste"/>
        <w:numPr>
          <w:ilvl w:val="0"/>
          <w:numId w:val="5"/>
        </w:numPr>
        <w:rPr>
          <w:rFonts w:ascii="Arial" w:hAnsi="Arial" w:cs="Arial"/>
          <w:sz w:val="20"/>
          <w:szCs w:val="20"/>
        </w:rPr>
      </w:pPr>
      <w:r>
        <w:rPr>
          <w:rFonts w:ascii="Arial" w:hAnsi="Arial" w:cs="Arial"/>
          <w:sz w:val="20"/>
          <w:szCs w:val="20"/>
        </w:rPr>
        <w:t>Plafond du service courant (c</w:t>
      </w:r>
      <w:r w:rsidR="007A253D" w:rsidRPr="0093718A">
        <w:rPr>
          <w:rFonts w:ascii="Arial" w:hAnsi="Arial" w:cs="Arial"/>
          <w:sz w:val="20"/>
          <w:szCs w:val="20"/>
        </w:rPr>
        <w:t>) :</w:t>
      </w:r>
    </w:p>
    <w:p w:rsidR="007A253D" w:rsidRPr="0093718A" w:rsidRDefault="007A253D" w:rsidP="00A02A76">
      <w:pPr>
        <w:pStyle w:val="Paragraphedeliste"/>
        <w:numPr>
          <w:ilvl w:val="1"/>
          <w:numId w:val="9"/>
        </w:numPr>
        <w:ind w:left="686" w:hanging="294"/>
        <w:rPr>
          <w:rFonts w:ascii="Arial" w:hAnsi="Arial" w:cs="Arial"/>
          <w:sz w:val="20"/>
          <w:szCs w:val="20"/>
        </w:rPr>
      </w:pPr>
      <w:r w:rsidRPr="0093718A">
        <w:rPr>
          <w:rFonts w:ascii="Arial" w:hAnsi="Arial" w:cs="Arial"/>
          <w:sz w:val="20"/>
          <w:szCs w:val="20"/>
        </w:rPr>
        <w:t>Incidence sur le coût des services passés (</w:t>
      </w:r>
      <w:r w:rsidR="000677C1">
        <w:rPr>
          <w:rFonts w:ascii="Arial" w:hAnsi="Arial" w:cs="Arial"/>
          <w:sz w:val="20"/>
          <w:szCs w:val="20"/>
        </w:rPr>
        <w:t>e</w:t>
      </w:r>
      <w:r w:rsidRPr="0093718A">
        <w:rPr>
          <w:rFonts w:ascii="Arial" w:hAnsi="Arial" w:cs="Arial"/>
          <w:sz w:val="20"/>
          <w:szCs w:val="20"/>
        </w:rPr>
        <w:t>) : aucune</w:t>
      </w:r>
    </w:p>
    <w:p w:rsidR="007A253D" w:rsidRPr="0093718A" w:rsidRDefault="007A253D" w:rsidP="00A02A76">
      <w:pPr>
        <w:pStyle w:val="Paragraphedeliste"/>
        <w:numPr>
          <w:ilvl w:val="1"/>
          <w:numId w:val="9"/>
        </w:numPr>
        <w:ind w:left="686" w:hanging="294"/>
        <w:rPr>
          <w:rFonts w:ascii="Arial" w:hAnsi="Arial" w:cs="Arial"/>
          <w:sz w:val="20"/>
          <w:szCs w:val="20"/>
        </w:rPr>
      </w:pPr>
      <w:r w:rsidRPr="0093718A">
        <w:rPr>
          <w:rFonts w:ascii="Arial" w:hAnsi="Arial" w:cs="Arial"/>
          <w:sz w:val="20"/>
          <w:szCs w:val="20"/>
        </w:rPr>
        <w:t>Pertes actuarielles nettes constatées en contrepartie (</w:t>
      </w:r>
      <w:r w:rsidR="000677C1">
        <w:rPr>
          <w:rFonts w:ascii="Arial" w:hAnsi="Arial" w:cs="Arial"/>
          <w:sz w:val="20"/>
          <w:szCs w:val="20"/>
        </w:rPr>
        <w:t>f</w:t>
      </w:r>
      <w:r w:rsidRPr="0093718A">
        <w:rPr>
          <w:rFonts w:ascii="Arial" w:hAnsi="Arial" w:cs="Arial"/>
          <w:sz w:val="20"/>
          <w:szCs w:val="20"/>
        </w:rPr>
        <w:t>) : aucune</w:t>
      </w:r>
    </w:p>
    <w:p w:rsidR="007A253D" w:rsidRDefault="007A253D" w:rsidP="00A02A76">
      <w:pPr>
        <w:pStyle w:val="Paragraphedeliste"/>
        <w:numPr>
          <w:ilvl w:val="1"/>
          <w:numId w:val="9"/>
        </w:numPr>
        <w:spacing w:after="0"/>
        <w:ind w:left="686" w:hanging="294"/>
        <w:rPr>
          <w:rFonts w:ascii="Arial" w:hAnsi="Arial" w:cs="Arial"/>
          <w:sz w:val="20"/>
          <w:szCs w:val="20"/>
        </w:rPr>
      </w:pPr>
      <w:r w:rsidRPr="0093718A">
        <w:rPr>
          <w:rFonts w:ascii="Arial" w:hAnsi="Arial" w:cs="Arial"/>
          <w:sz w:val="20"/>
          <w:szCs w:val="20"/>
        </w:rPr>
        <w:t>Incidence sur le coût du service courant de l’exercice : (0,8 M$)</w:t>
      </w:r>
    </w:p>
    <w:p w:rsidR="00A02A76" w:rsidRPr="00A02A76" w:rsidRDefault="00A02A76" w:rsidP="00A02A76">
      <w:pPr>
        <w:spacing w:after="0"/>
        <w:rPr>
          <w:rFonts w:ascii="Arial" w:hAnsi="Arial" w:cs="Arial"/>
          <w:sz w:val="20"/>
          <w:szCs w:val="20"/>
        </w:rPr>
      </w:pPr>
    </w:p>
    <w:p w:rsidR="007A253D" w:rsidRPr="0093718A" w:rsidRDefault="007A253D" w:rsidP="007A253D">
      <w:pPr>
        <w:pStyle w:val="Paragraphedeliste"/>
        <w:numPr>
          <w:ilvl w:val="0"/>
          <w:numId w:val="5"/>
        </w:numPr>
        <w:rPr>
          <w:rFonts w:ascii="Arial" w:hAnsi="Arial" w:cs="Arial"/>
          <w:sz w:val="20"/>
          <w:szCs w:val="20"/>
        </w:rPr>
      </w:pPr>
      <w:r w:rsidRPr="0093718A">
        <w:rPr>
          <w:rFonts w:ascii="Arial" w:hAnsi="Arial" w:cs="Arial"/>
          <w:sz w:val="20"/>
          <w:szCs w:val="20"/>
        </w:rPr>
        <w:t>Partage du service courant (e) :</w:t>
      </w:r>
    </w:p>
    <w:p w:rsidR="007A253D" w:rsidRPr="0093718A" w:rsidRDefault="007A253D" w:rsidP="00A02A76">
      <w:pPr>
        <w:pStyle w:val="Paragraphedeliste"/>
        <w:numPr>
          <w:ilvl w:val="1"/>
          <w:numId w:val="9"/>
        </w:numPr>
        <w:ind w:left="686" w:hanging="294"/>
        <w:rPr>
          <w:rFonts w:ascii="Arial" w:hAnsi="Arial" w:cs="Arial"/>
          <w:sz w:val="20"/>
          <w:szCs w:val="20"/>
        </w:rPr>
      </w:pPr>
      <w:r w:rsidRPr="0093718A">
        <w:rPr>
          <w:rFonts w:ascii="Arial" w:hAnsi="Arial" w:cs="Arial"/>
          <w:sz w:val="20"/>
          <w:szCs w:val="20"/>
        </w:rPr>
        <w:t>Incidence sur le coût des services passés (</w:t>
      </w:r>
      <w:r w:rsidR="000677C1">
        <w:rPr>
          <w:rFonts w:ascii="Arial" w:hAnsi="Arial" w:cs="Arial"/>
          <w:sz w:val="20"/>
          <w:szCs w:val="20"/>
        </w:rPr>
        <w:t>e</w:t>
      </w:r>
      <w:r w:rsidRPr="0093718A">
        <w:rPr>
          <w:rFonts w:ascii="Arial" w:hAnsi="Arial" w:cs="Arial"/>
          <w:sz w:val="20"/>
          <w:szCs w:val="20"/>
        </w:rPr>
        <w:t>) : aucune</w:t>
      </w:r>
    </w:p>
    <w:p w:rsidR="007A253D" w:rsidRPr="0093718A" w:rsidRDefault="007A253D" w:rsidP="00A02A76">
      <w:pPr>
        <w:pStyle w:val="Paragraphedeliste"/>
        <w:numPr>
          <w:ilvl w:val="1"/>
          <w:numId w:val="9"/>
        </w:numPr>
        <w:ind w:left="686" w:hanging="294"/>
        <w:rPr>
          <w:rFonts w:ascii="Arial" w:hAnsi="Arial" w:cs="Arial"/>
          <w:sz w:val="20"/>
          <w:szCs w:val="20"/>
        </w:rPr>
      </w:pPr>
      <w:r w:rsidRPr="0093718A">
        <w:rPr>
          <w:rFonts w:ascii="Arial" w:hAnsi="Arial" w:cs="Arial"/>
          <w:sz w:val="20"/>
          <w:szCs w:val="20"/>
        </w:rPr>
        <w:t>Pertes actuarielles nettes constatées en contrepartie (</w:t>
      </w:r>
      <w:r w:rsidR="000677C1">
        <w:rPr>
          <w:rFonts w:ascii="Arial" w:hAnsi="Arial" w:cs="Arial"/>
          <w:sz w:val="20"/>
          <w:szCs w:val="20"/>
        </w:rPr>
        <w:t>f</w:t>
      </w:r>
      <w:r w:rsidRPr="0093718A">
        <w:rPr>
          <w:rFonts w:ascii="Arial" w:hAnsi="Arial" w:cs="Arial"/>
          <w:sz w:val="20"/>
          <w:szCs w:val="20"/>
        </w:rPr>
        <w:t>) : aucune</w:t>
      </w:r>
    </w:p>
    <w:p w:rsidR="007A253D" w:rsidRDefault="007A253D" w:rsidP="00A02A76">
      <w:pPr>
        <w:pStyle w:val="Paragraphedeliste"/>
        <w:numPr>
          <w:ilvl w:val="1"/>
          <w:numId w:val="9"/>
        </w:numPr>
        <w:spacing w:after="0"/>
        <w:ind w:left="686" w:hanging="294"/>
        <w:rPr>
          <w:rFonts w:ascii="Arial" w:hAnsi="Arial" w:cs="Arial"/>
          <w:sz w:val="20"/>
          <w:szCs w:val="20"/>
        </w:rPr>
      </w:pPr>
      <w:r w:rsidRPr="0093718A">
        <w:rPr>
          <w:rFonts w:ascii="Arial" w:hAnsi="Arial" w:cs="Arial"/>
          <w:sz w:val="20"/>
          <w:szCs w:val="20"/>
        </w:rPr>
        <w:t>Incidence sur le coût du service courant de l’exercice : S.O.</w:t>
      </w:r>
    </w:p>
    <w:p w:rsidR="00A02A76" w:rsidRPr="0093718A" w:rsidRDefault="00A02A76" w:rsidP="00A02A76">
      <w:pPr>
        <w:spacing w:after="0"/>
        <w:rPr>
          <w:rFonts w:ascii="Arial" w:hAnsi="Arial" w:cs="Arial"/>
          <w:sz w:val="20"/>
          <w:szCs w:val="20"/>
        </w:rPr>
      </w:pPr>
    </w:p>
    <w:p w:rsidR="007A253D" w:rsidRPr="0093718A" w:rsidRDefault="007A253D" w:rsidP="007A253D">
      <w:pPr>
        <w:pStyle w:val="Paragraphedeliste"/>
        <w:numPr>
          <w:ilvl w:val="0"/>
          <w:numId w:val="5"/>
        </w:numPr>
        <w:rPr>
          <w:rFonts w:ascii="Arial" w:hAnsi="Arial" w:cs="Arial"/>
          <w:sz w:val="20"/>
          <w:szCs w:val="20"/>
        </w:rPr>
      </w:pPr>
      <w:r w:rsidRPr="0093718A">
        <w:rPr>
          <w:rFonts w:ascii="Arial" w:hAnsi="Arial" w:cs="Arial"/>
          <w:sz w:val="20"/>
          <w:szCs w:val="20"/>
        </w:rPr>
        <w:t>Partage du défic</w:t>
      </w:r>
      <w:r w:rsidR="000677C1">
        <w:rPr>
          <w:rFonts w:ascii="Arial" w:hAnsi="Arial" w:cs="Arial"/>
          <w:sz w:val="20"/>
          <w:szCs w:val="20"/>
        </w:rPr>
        <w:t>it lié au service postérieur</w:t>
      </w:r>
      <w:r w:rsidRPr="0093718A">
        <w:rPr>
          <w:rFonts w:ascii="Arial" w:hAnsi="Arial" w:cs="Arial"/>
          <w:sz w:val="20"/>
          <w:szCs w:val="20"/>
        </w:rPr>
        <w:t> :</w:t>
      </w:r>
    </w:p>
    <w:p w:rsidR="007A253D" w:rsidRPr="0093718A" w:rsidRDefault="007A253D" w:rsidP="00A02A76">
      <w:pPr>
        <w:pStyle w:val="Paragraphedeliste"/>
        <w:numPr>
          <w:ilvl w:val="1"/>
          <w:numId w:val="9"/>
        </w:numPr>
        <w:ind w:left="686" w:hanging="294"/>
        <w:rPr>
          <w:rFonts w:ascii="Arial" w:hAnsi="Arial" w:cs="Arial"/>
          <w:sz w:val="20"/>
          <w:szCs w:val="20"/>
        </w:rPr>
      </w:pPr>
      <w:r w:rsidRPr="0093718A">
        <w:rPr>
          <w:rFonts w:ascii="Arial" w:hAnsi="Arial" w:cs="Arial"/>
          <w:sz w:val="20"/>
          <w:szCs w:val="20"/>
        </w:rPr>
        <w:t>Incidence sur le coût des services passés (</w:t>
      </w:r>
      <w:r w:rsidR="000677C1">
        <w:rPr>
          <w:rFonts w:ascii="Arial" w:hAnsi="Arial" w:cs="Arial"/>
          <w:sz w:val="20"/>
          <w:szCs w:val="20"/>
        </w:rPr>
        <w:t>e</w:t>
      </w:r>
      <w:r w:rsidRPr="0093718A">
        <w:rPr>
          <w:rFonts w:ascii="Arial" w:hAnsi="Arial" w:cs="Arial"/>
          <w:sz w:val="20"/>
          <w:szCs w:val="20"/>
        </w:rPr>
        <w:t>) : aucune</w:t>
      </w:r>
    </w:p>
    <w:p w:rsidR="007A253D" w:rsidRPr="0093718A" w:rsidRDefault="007A253D" w:rsidP="00A02A76">
      <w:pPr>
        <w:pStyle w:val="Paragraphedeliste"/>
        <w:numPr>
          <w:ilvl w:val="1"/>
          <w:numId w:val="9"/>
        </w:numPr>
        <w:ind w:left="686" w:hanging="294"/>
        <w:rPr>
          <w:rFonts w:ascii="Arial" w:hAnsi="Arial" w:cs="Arial"/>
          <w:sz w:val="20"/>
          <w:szCs w:val="20"/>
        </w:rPr>
      </w:pPr>
      <w:r w:rsidRPr="0093718A">
        <w:rPr>
          <w:rFonts w:ascii="Arial" w:hAnsi="Arial" w:cs="Arial"/>
          <w:sz w:val="20"/>
          <w:szCs w:val="20"/>
        </w:rPr>
        <w:t>Pertes actuarielles nettes constatées en contrepartie (</w:t>
      </w:r>
      <w:r w:rsidR="000677C1">
        <w:rPr>
          <w:rFonts w:ascii="Arial" w:hAnsi="Arial" w:cs="Arial"/>
          <w:sz w:val="20"/>
          <w:szCs w:val="20"/>
        </w:rPr>
        <w:t>f</w:t>
      </w:r>
      <w:r w:rsidRPr="0093718A">
        <w:rPr>
          <w:rFonts w:ascii="Arial" w:hAnsi="Arial" w:cs="Arial"/>
          <w:sz w:val="20"/>
          <w:szCs w:val="20"/>
        </w:rPr>
        <w:t>) : aucune</w:t>
      </w:r>
    </w:p>
    <w:p w:rsidR="007A253D" w:rsidRDefault="007A253D" w:rsidP="00A15F20">
      <w:pPr>
        <w:pStyle w:val="Paragraphedeliste"/>
        <w:numPr>
          <w:ilvl w:val="1"/>
          <w:numId w:val="9"/>
        </w:numPr>
        <w:spacing w:after="0"/>
        <w:ind w:left="686" w:hanging="294"/>
        <w:rPr>
          <w:rFonts w:ascii="Arial" w:hAnsi="Arial" w:cs="Arial"/>
          <w:sz w:val="20"/>
          <w:szCs w:val="20"/>
        </w:rPr>
      </w:pPr>
      <w:r w:rsidRPr="0093718A">
        <w:rPr>
          <w:rFonts w:ascii="Arial" w:hAnsi="Arial" w:cs="Arial"/>
          <w:sz w:val="20"/>
          <w:szCs w:val="20"/>
        </w:rPr>
        <w:t>Incidence sur le coût du service courant de l’exercice : S.O.</w:t>
      </w:r>
    </w:p>
    <w:p w:rsidR="00A15F20" w:rsidRPr="0093718A" w:rsidRDefault="00A15F20" w:rsidP="00A15F20">
      <w:pPr>
        <w:spacing w:after="0"/>
        <w:rPr>
          <w:rFonts w:ascii="Arial" w:hAnsi="Arial" w:cs="Arial"/>
          <w:sz w:val="20"/>
          <w:szCs w:val="20"/>
        </w:rPr>
      </w:pPr>
    </w:p>
    <w:p w:rsidR="007A253D" w:rsidRPr="0093718A" w:rsidRDefault="007A253D" w:rsidP="007A253D">
      <w:pPr>
        <w:pStyle w:val="Paragraphedeliste"/>
        <w:numPr>
          <w:ilvl w:val="0"/>
          <w:numId w:val="5"/>
        </w:numPr>
        <w:rPr>
          <w:rFonts w:ascii="Arial" w:hAnsi="Arial" w:cs="Arial"/>
          <w:sz w:val="20"/>
          <w:szCs w:val="20"/>
        </w:rPr>
      </w:pPr>
      <w:r w:rsidRPr="0093718A">
        <w:rPr>
          <w:rFonts w:ascii="Arial" w:hAnsi="Arial" w:cs="Arial"/>
          <w:sz w:val="20"/>
          <w:szCs w:val="20"/>
        </w:rPr>
        <w:t xml:space="preserve">Cotisation au fonds de </w:t>
      </w:r>
      <w:r w:rsidR="000677C1">
        <w:rPr>
          <w:rFonts w:ascii="Arial" w:hAnsi="Arial" w:cs="Arial"/>
          <w:sz w:val="20"/>
          <w:szCs w:val="20"/>
        </w:rPr>
        <w:t>stabilisation</w:t>
      </w:r>
      <w:r w:rsidRPr="0093718A">
        <w:rPr>
          <w:rFonts w:ascii="Arial" w:hAnsi="Arial" w:cs="Arial"/>
          <w:sz w:val="20"/>
          <w:szCs w:val="20"/>
        </w:rPr>
        <w:t> :</w:t>
      </w:r>
    </w:p>
    <w:p w:rsidR="007A253D" w:rsidRPr="0093718A" w:rsidRDefault="007A253D" w:rsidP="00A02A76">
      <w:pPr>
        <w:pStyle w:val="Paragraphedeliste"/>
        <w:numPr>
          <w:ilvl w:val="1"/>
          <w:numId w:val="9"/>
        </w:numPr>
        <w:ind w:left="686" w:hanging="294"/>
        <w:rPr>
          <w:rFonts w:ascii="Arial" w:hAnsi="Arial" w:cs="Arial"/>
          <w:sz w:val="20"/>
          <w:szCs w:val="20"/>
        </w:rPr>
      </w:pPr>
      <w:r w:rsidRPr="0093718A">
        <w:rPr>
          <w:rFonts w:ascii="Arial" w:hAnsi="Arial" w:cs="Arial"/>
          <w:sz w:val="20"/>
          <w:szCs w:val="20"/>
        </w:rPr>
        <w:t>Incidence sur le coût des services passés (</w:t>
      </w:r>
      <w:r w:rsidR="000677C1">
        <w:rPr>
          <w:rFonts w:ascii="Arial" w:hAnsi="Arial" w:cs="Arial"/>
          <w:sz w:val="20"/>
          <w:szCs w:val="20"/>
        </w:rPr>
        <w:t>e</w:t>
      </w:r>
      <w:r w:rsidRPr="0093718A">
        <w:rPr>
          <w:rFonts w:ascii="Arial" w:hAnsi="Arial" w:cs="Arial"/>
          <w:sz w:val="20"/>
          <w:szCs w:val="20"/>
        </w:rPr>
        <w:t>) : aucune</w:t>
      </w:r>
    </w:p>
    <w:p w:rsidR="007A253D" w:rsidRPr="0093718A" w:rsidRDefault="007A253D" w:rsidP="00A02A76">
      <w:pPr>
        <w:pStyle w:val="Paragraphedeliste"/>
        <w:numPr>
          <w:ilvl w:val="1"/>
          <w:numId w:val="9"/>
        </w:numPr>
        <w:ind w:left="686" w:hanging="294"/>
        <w:rPr>
          <w:rFonts w:ascii="Arial" w:hAnsi="Arial" w:cs="Arial"/>
          <w:sz w:val="20"/>
          <w:szCs w:val="20"/>
        </w:rPr>
      </w:pPr>
      <w:r w:rsidRPr="0093718A">
        <w:rPr>
          <w:rFonts w:ascii="Arial" w:hAnsi="Arial" w:cs="Arial"/>
          <w:sz w:val="20"/>
          <w:szCs w:val="20"/>
        </w:rPr>
        <w:t>Pertes actuarielles nettes constatées en contrepartie (</w:t>
      </w:r>
      <w:r w:rsidR="000677C1">
        <w:rPr>
          <w:rFonts w:ascii="Arial" w:hAnsi="Arial" w:cs="Arial"/>
          <w:sz w:val="20"/>
          <w:szCs w:val="20"/>
        </w:rPr>
        <w:t>f</w:t>
      </w:r>
      <w:r w:rsidRPr="0093718A">
        <w:rPr>
          <w:rFonts w:ascii="Arial" w:hAnsi="Arial" w:cs="Arial"/>
          <w:sz w:val="20"/>
          <w:szCs w:val="20"/>
        </w:rPr>
        <w:t>) : aucune</w:t>
      </w:r>
    </w:p>
    <w:p w:rsidR="007A253D" w:rsidRDefault="007A253D" w:rsidP="00A15F20">
      <w:pPr>
        <w:pStyle w:val="Paragraphedeliste"/>
        <w:numPr>
          <w:ilvl w:val="1"/>
          <w:numId w:val="9"/>
        </w:numPr>
        <w:spacing w:after="0"/>
        <w:ind w:left="686" w:hanging="294"/>
        <w:rPr>
          <w:rFonts w:ascii="Arial" w:hAnsi="Arial" w:cs="Arial"/>
          <w:sz w:val="20"/>
          <w:szCs w:val="20"/>
        </w:rPr>
      </w:pPr>
      <w:r w:rsidRPr="007C23E1">
        <w:rPr>
          <w:rFonts w:ascii="Arial" w:hAnsi="Arial" w:cs="Arial"/>
          <w:sz w:val="20"/>
          <w:szCs w:val="20"/>
        </w:rPr>
        <w:t>Incidence sur le coût du service courant de l’exercice</w:t>
      </w:r>
      <w:r>
        <w:rPr>
          <w:rFonts w:ascii="Arial" w:hAnsi="Arial" w:cs="Arial"/>
          <w:sz w:val="20"/>
          <w:szCs w:val="20"/>
        </w:rPr>
        <w:t> : S.O.</w:t>
      </w:r>
    </w:p>
    <w:p w:rsidR="00A15F20" w:rsidRDefault="00A15F20" w:rsidP="00A15F20">
      <w:pPr>
        <w:spacing w:after="0"/>
        <w:rPr>
          <w:rFonts w:ascii="Arial" w:hAnsi="Arial" w:cs="Arial"/>
          <w:sz w:val="20"/>
          <w:szCs w:val="20"/>
        </w:rPr>
      </w:pPr>
    </w:p>
    <w:p w:rsidR="007A253D" w:rsidRDefault="007A253D" w:rsidP="007A253D">
      <w:pPr>
        <w:pStyle w:val="Paragraphedeliste"/>
        <w:numPr>
          <w:ilvl w:val="0"/>
          <w:numId w:val="5"/>
        </w:numPr>
        <w:rPr>
          <w:rFonts w:ascii="Arial" w:hAnsi="Arial" w:cs="Arial"/>
          <w:sz w:val="20"/>
          <w:szCs w:val="20"/>
        </w:rPr>
      </w:pPr>
      <w:r>
        <w:rPr>
          <w:rFonts w:ascii="Arial" w:hAnsi="Arial" w:cs="Arial"/>
          <w:sz w:val="20"/>
          <w:szCs w:val="20"/>
        </w:rPr>
        <w:t>Grand total des incidences</w:t>
      </w:r>
      <w:r w:rsidRPr="007C23E1">
        <w:rPr>
          <w:rFonts w:ascii="Arial" w:hAnsi="Arial" w:cs="Arial"/>
          <w:sz w:val="20"/>
          <w:szCs w:val="20"/>
        </w:rPr>
        <w:t xml:space="preserve"> (</w:t>
      </w:r>
      <w:r w:rsidR="000677C1">
        <w:rPr>
          <w:rFonts w:ascii="Arial" w:hAnsi="Arial" w:cs="Arial"/>
          <w:sz w:val="20"/>
          <w:szCs w:val="20"/>
        </w:rPr>
        <w:t>d</w:t>
      </w:r>
      <w:r w:rsidRPr="007C23E1">
        <w:rPr>
          <w:rFonts w:ascii="Arial" w:hAnsi="Arial" w:cs="Arial"/>
          <w:sz w:val="20"/>
          <w:szCs w:val="20"/>
        </w:rPr>
        <w:t>)</w:t>
      </w:r>
      <w:r>
        <w:rPr>
          <w:rFonts w:ascii="Arial" w:hAnsi="Arial" w:cs="Arial"/>
          <w:sz w:val="20"/>
          <w:szCs w:val="20"/>
        </w:rPr>
        <w:t> :</w:t>
      </w:r>
    </w:p>
    <w:p w:rsidR="007A253D" w:rsidRDefault="007A253D" w:rsidP="00A02A76">
      <w:pPr>
        <w:pStyle w:val="Paragraphedeliste"/>
        <w:numPr>
          <w:ilvl w:val="1"/>
          <w:numId w:val="9"/>
        </w:numPr>
        <w:ind w:left="686" w:hanging="294"/>
        <w:rPr>
          <w:rFonts w:ascii="Arial" w:hAnsi="Arial" w:cs="Arial"/>
          <w:sz w:val="20"/>
          <w:szCs w:val="20"/>
        </w:rPr>
      </w:pPr>
      <w:r w:rsidRPr="007C23E1">
        <w:rPr>
          <w:rFonts w:ascii="Arial" w:hAnsi="Arial" w:cs="Arial"/>
          <w:sz w:val="20"/>
          <w:szCs w:val="20"/>
        </w:rPr>
        <w:t>Incidence sur le coût des services passés (</w:t>
      </w:r>
      <w:r w:rsidR="000677C1">
        <w:rPr>
          <w:rFonts w:ascii="Arial" w:hAnsi="Arial" w:cs="Arial"/>
          <w:sz w:val="20"/>
          <w:szCs w:val="20"/>
        </w:rPr>
        <w:t>e</w:t>
      </w:r>
      <w:r w:rsidRPr="007C23E1">
        <w:rPr>
          <w:rFonts w:ascii="Arial" w:hAnsi="Arial" w:cs="Arial"/>
          <w:sz w:val="20"/>
          <w:szCs w:val="20"/>
        </w:rPr>
        <w:t>)</w:t>
      </w:r>
      <w:r>
        <w:rPr>
          <w:rFonts w:ascii="Arial" w:hAnsi="Arial" w:cs="Arial"/>
          <w:sz w:val="20"/>
          <w:szCs w:val="20"/>
        </w:rPr>
        <w:t> : (1,5 M$)</w:t>
      </w:r>
    </w:p>
    <w:p w:rsidR="007A253D" w:rsidRDefault="007A253D" w:rsidP="00A02A76">
      <w:pPr>
        <w:pStyle w:val="Paragraphedeliste"/>
        <w:numPr>
          <w:ilvl w:val="1"/>
          <w:numId w:val="9"/>
        </w:numPr>
        <w:ind w:left="686" w:hanging="294"/>
        <w:rPr>
          <w:rFonts w:ascii="Arial" w:hAnsi="Arial" w:cs="Arial"/>
          <w:sz w:val="20"/>
          <w:szCs w:val="20"/>
        </w:rPr>
      </w:pPr>
      <w:r>
        <w:rPr>
          <w:rFonts w:ascii="Arial" w:hAnsi="Arial" w:cs="Arial"/>
          <w:sz w:val="20"/>
          <w:szCs w:val="20"/>
        </w:rPr>
        <w:t>P</w:t>
      </w:r>
      <w:r w:rsidRPr="007C23E1">
        <w:rPr>
          <w:rFonts w:ascii="Arial" w:hAnsi="Arial" w:cs="Arial"/>
          <w:sz w:val="20"/>
          <w:szCs w:val="20"/>
        </w:rPr>
        <w:t>ertes actuarielles nettes constatées en contrepartie (</w:t>
      </w:r>
      <w:r w:rsidR="000677C1">
        <w:rPr>
          <w:rFonts w:ascii="Arial" w:hAnsi="Arial" w:cs="Arial"/>
          <w:sz w:val="20"/>
          <w:szCs w:val="20"/>
        </w:rPr>
        <w:t>f</w:t>
      </w:r>
      <w:r w:rsidRPr="007C23E1">
        <w:rPr>
          <w:rFonts w:ascii="Arial" w:hAnsi="Arial" w:cs="Arial"/>
          <w:sz w:val="20"/>
          <w:szCs w:val="20"/>
        </w:rPr>
        <w:t>)</w:t>
      </w:r>
      <w:r>
        <w:rPr>
          <w:rFonts w:ascii="Arial" w:hAnsi="Arial" w:cs="Arial"/>
          <w:sz w:val="20"/>
          <w:szCs w:val="20"/>
        </w:rPr>
        <w:t> : 1,5 M$</w:t>
      </w:r>
    </w:p>
    <w:p w:rsidR="007A253D" w:rsidRDefault="007A253D" w:rsidP="00A15F20">
      <w:pPr>
        <w:pStyle w:val="Paragraphedeliste"/>
        <w:numPr>
          <w:ilvl w:val="1"/>
          <w:numId w:val="9"/>
        </w:numPr>
        <w:spacing w:after="0"/>
        <w:ind w:left="686" w:hanging="294"/>
        <w:rPr>
          <w:rFonts w:ascii="Arial" w:hAnsi="Arial" w:cs="Arial"/>
          <w:sz w:val="20"/>
          <w:szCs w:val="20"/>
        </w:rPr>
      </w:pPr>
      <w:r w:rsidRPr="007C23E1">
        <w:rPr>
          <w:rFonts w:ascii="Arial" w:hAnsi="Arial" w:cs="Arial"/>
          <w:sz w:val="20"/>
          <w:szCs w:val="20"/>
        </w:rPr>
        <w:t>Incidence sur le coût du service courant de l’exercice</w:t>
      </w:r>
      <w:r>
        <w:rPr>
          <w:rFonts w:ascii="Arial" w:hAnsi="Arial" w:cs="Arial"/>
          <w:sz w:val="20"/>
          <w:szCs w:val="20"/>
        </w:rPr>
        <w:t> : (1,1 M$)</w:t>
      </w:r>
    </w:p>
    <w:p w:rsidR="00614A8D" w:rsidRDefault="00614A8D">
      <w:pPr>
        <w:spacing w:after="0" w:line="240" w:lineRule="auto"/>
        <w:rPr>
          <w:rFonts w:ascii="Arial" w:hAnsi="Arial" w:cs="Arial"/>
          <w:sz w:val="20"/>
          <w:szCs w:val="20"/>
        </w:rPr>
      </w:pPr>
    </w:p>
    <w:p w:rsidR="00614A8D" w:rsidRDefault="00614A8D">
      <w:pPr>
        <w:spacing w:after="0" w:line="240" w:lineRule="auto"/>
        <w:rPr>
          <w:rFonts w:ascii="Arial" w:hAnsi="Arial" w:cs="Arial"/>
          <w:sz w:val="20"/>
          <w:szCs w:val="20"/>
        </w:rPr>
      </w:pPr>
      <w:r>
        <w:rPr>
          <w:rFonts w:ascii="Arial" w:hAnsi="Arial" w:cs="Arial"/>
          <w:sz w:val="20"/>
          <w:szCs w:val="20"/>
        </w:rPr>
        <w:br w:type="page"/>
      </w:r>
    </w:p>
    <w:p w:rsidR="007A253D" w:rsidRPr="007A253D" w:rsidRDefault="007A253D" w:rsidP="00C83170">
      <w:pPr>
        <w:spacing w:after="0"/>
        <w:jc w:val="both"/>
        <w:rPr>
          <w:rFonts w:ascii="Arial" w:hAnsi="Arial" w:cs="Arial"/>
          <w:sz w:val="20"/>
          <w:szCs w:val="20"/>
        </w:rPr>
      </w:pPr>
    </w:p>
    <w:p w:rsidR="000677C1" w:rsidRDefault="000677C1" w:rsidP="00C83170">
      <w:pPr>
        <w:pStyle w:val="Paragraphedeliste"/>
        <w:numPr>
          <w:ilvl w:val="0"/>
          <w:numId w:val="8"/>
        </w:numPr>
        <w:spacing w:after="0"/>
        <w:jc w:val="both"/>
        <w:rPr>
          <w:rFonts w:ascii="Arial" w:hAnsi="Arial" w:cs="Arial"/>
          <w:sz w:val="20"/>
          <w:szCs w:val="20"/>
        </w:rPr>
      </w:pPr>
      <w:r w:rsidRPr="007C23E1">
        <w:rPr>
          <w:rFonts w:ascii="Arial" w:hAnsi="Arial" w:cs="Arial"/>
          <w:sz w:val="20"/>
          <w:szCs w:val="20"/>
        </w:rPr>
        <w:t xml:space="preserve">Le coût des services passés représente l’élimination de l’indexation automatique et de la prestation additionnelle. </w:t>
      </w:r>
      <w:r w:rsidR="00614A8D">
        <w:rPr>
          <w:rFonts w:ascii="Arial" w:hAnsi="Arial" w:cs="Arial"/>
          <w:sz w:val="20"/>
          <w:szCs w:val="20"/>
        </w:rPr>
        <w:t>Comme</w:t>
      </w:r>
      <w:r w:rsidRPr="007C23E1">
        <w:rPr>
          <w:rFonts w:ascii="Arial" w:hAnsi="Arial" w:cs="Arial"/>
          <w:sz w:val="20"/>
          <w:szCs w:val="20"/>
        </w:rPr>
        <w:t xml:space="preserve"> prévu à la Loi, si la valeur dépasse la part de déficit qui doit être assumée par les participants actifs, une réserve doit être maintenue pour l’excédent. La réserve, s’il y a lieu, est établie en fonction d’une hypothèse d’un partage de 45 % assumé par les participants actifs, ce qui correspond au seuil minimal exigé par la Loi. L’élimination de l’indexation automatique et de la prestation additionnelle affecte également le coût du service courant.</w:t>
      </w:r>
    </w:p>
    <w:p w:rsidR="00614A8D" w:rsidRPr="00614A8D" w:rsidRDefault="00614A8D" w:rsidP="00C83170">
      <w:pPr>
        <w:spacing w:after="0"/>
        <w:jc w:val="both"/>
        <w:rPr>
          <w:rFonts w:ascii="Arial" w:hAnsi="Arial" w:cs="Arial"/>
          <w:sz w:val="20"/>
          <w:szCs w:val="20"/>
        </w:rPr>
      </w:pPr>
    </w:p>
    <w:p w:rsidR="000677C1" w:rsidRDefault="000677C1" w:rsidP="00C83170">
      <w:pPr>
        <w:pStyle w:val="Paragraphedeliste"/>
        <w:numPr>
          <w:ilvl w:val="0"/>
          <w:numId w:val="8"/>
        </w:numPr>
        <w:spacing w:after="0"/>
        <w:jc w:val="both"/>
        <w:rPr>
          <w:rFonts w:ascii="Arial" w:hAnsi="Arial" w:cs="Arial"/>
          <w:sz w:val="20"/>
          <w:szCs w:val="20"/>
        </w:rPr>
      </w:pPr>
      <w:r w:rsidRPr="007C23E1">
        <w:rPr>
          <w:rFonts w:ascii="Arial" w:hAnsi="Arial" w:cs="Arial"/>
          <w:sz w:val="20"/>
          <w:szCs w:val="20"/>
        </w:rPr>
        <w:t xml:space="preserve">Le coût des services passés est établi en fonction d’une hypothèse d’un partage de 45 % assumé par </w:t>
      </w:r>
      <w:r w:rsidRPr="00AB4289">
        <w:rPr>
          <w:rFonts w:ascii="Arial" w:hAnsi="Arial" w:cs="Arial"/>
          <w:sz w:val="20"/>
          <w:szCs w:val="20"/>
        </w:rPr>
        <w:t>les participants, ce qui correspond au seuil minimal exigé par la Loi. Il représente la part de déficit pris en charge par les participants actifs qui dépasse, s’il y a lieu, la valeur de l’indexation automatique et de la pres</w:t>
      </w:r>
      <w:r w:rsidR="00C83170">
        <w:rPr>
          <w:rFonts w:ascii="Arial" w:hAnsi="Arial" w:cs="Arial"/>
          <w:sz w:val="20"/>
          <w:szCs w:val="20"/>
        </w:rPr>
        <w:t>tation additionnelle éliminées.</w:t>
      </w:r>
    </w:p>
    <w:p w:rsidR="00C83170" w:rsidRPr="00C83170" w:rsidRDefault="00C83170" w:rsidP="00C83170">
      <w:pPr>
        <w:spacing w:after="0"/>
        <w:jc w:val="both"/>
        <w:rPr>
          <w:rFonts w:ascii="Arial" w:hAnsi="Arial" w:cs="Arial"/>
          <w:sz w:val="20"/>
          <w:szCs w:val="20"/>
        </w:rPr>
      </w:pPr>
    </w:p>
    <w:p w:rsidR="000677C1" w:rsidRDefault="000677C1" w:rsidP="00C83170">
      <w:pPr>
        <w:pStyle w:val="Paragraphedeliste"/>
        <w:numPr>
          <w:ilvl w:val="0"/>
          <w:numId w:val="8"/>
        </w:numPr>
        <w:spacing w:after="0"/>
        <w:jc w:val="both"/>
        <w:rPr>
          <w:rFonts w:ascii="Arial" w:hAnsi="Arial" w:cs="Arial"/>
          <w:sz w:val="20"/>
          <w:szCs w:val="20"/>
        </w:rPr>
      </w:pPr>
      <w:r w:rsidRPr="007C23E1">
        <w:rPr>
          <w:rFonts w:ascii="Arial" w:hAnsi="Arial" w:cs="Arial"/>
          <w:sz w:val="20"/>
          <w:szCs w:val="20"/>
        </w:rPr>
        <w:t xml:space="preserve">L’incidence du plafond du service courant est établie en considérant la différence entre 1) le service courant prévu actuellement au régime net de l’effet de l’indexation automatique et de la prestation additionnelle </w:t>
      </w:r>
      <w:r w:rsidRPr="00AB4289">
        <w:rPr>
          <w:rFonts w:ascii="Arial" w:hAnsi="Arial" w:cs="Arial"/>
          <w:sz w:val="20"/>
          <w:szCs w:val="20"/>
        </w:rPr>
        <w:t xml:space="preserve">éliminées et 2) le plafond établi selon les modalités de la Loi. Comme cette disposition ne prend effet qu’à la fin de la convention en vigueur pour les régimes avec report, elle n’a pas d’incidence sur les coûts de </w:t>
      </w:r>
      <w:r w:rsidR="00AD3B73" w:rsidRPr="00AB4289">
        <w:rPr>
          <w:rFonts w:ascii="Arial" w:hAnsi="Arial" w:cs="Arial"/>
          <w:sz w:val="20"/>
          <w:szCs w:val="20"/>
        </w:rPr>
        <w:t>201</w:t>
      </w:r>
      <w:r w:rsidR="00AD3B73">
        <w:rPr>
          <w:rFonts w:ascii="Arial" w:hAnsi="Arial" w:cs="Arial"/>
          <w:sz w:val="20"/>
          <w:szCs w:val="20"/>
        </w:rPr>
        <w:t>5</w:t>
      </w:r>
      <w:r w:rsidR="00AD3B73" w:rsidRPr="00AB4289">
        <w:rPr>
          <w:rFonts w:ascii="Arial" w:hAnsi="Arial" w:cs="Arial"/>
          <w:sz w:val="20"/>
          <w:szCs w:val="20"/>
        </w:rPr>
        <w:t xml:space="preserve"> </w:t>
      </w:r>
      <w:r w:rsidRPr="00AB4289">
        <w:rPr>
          <w:rFonts w:ascii="Arial" w:hAnsi="Arial" w:cs="Arial"/>
          <w:sz w:val="20"/>
          <w:szCs w:val="20"/>
        </w:rPr>
        <w:t>dans le cas de ces régimes.</w:t>
      </w:r>
    </w:p>
    <w:p w:rsidR="00C83170" w:rsidRPr="00C83170" w:rsidRDefault="00C83170" w:rsidP="00C83170">
      <w:pPr>
        <w:spacing w:after="0"/>
        <w:ind w:left="360" w:hanging="360"/>
        <w:contextualSpacing/>
        <w:jc w:val="both"/>
        <w:rPr>
          <w:rFonts w:ascii="Arial" w:hAnsi="Arial" w:cs="Arial"/>
          <w:sz w:val="20"/>
          <w:szCs w:val="20"/>
        </w:rPr>
      </w:pPr>
    </w:p>
    <w:p w:rsidR="000677C1" w:rsidRDefault="000677C1" w:rsidP="00C83170">
      <w:pPr>
        <w:pStyle w:val="Paragraphedeliste"/>
        <w:numPr>
          <w:ilvl w:val="0"/>
          <w:numId w:val="8"/>
        </w:numPr>
        <w:spacing w:after="0"/>
        <w:jc w:val="both"/>
        <w:rPr>
          <w:rFonts w:ascii="Arial" w:hAnsi="Arial" w:cs="Arial"/>
          <w:sz w:val="20"/>
          <w:szCs w:val="20"/>
        </w:rPr>
      </w:pPr>
      <w:r w:rsidRPr="00AB4289">
        <w:rPr>
          <w:rFonts w:ascii="Arial" w:hAnsi="Arial" w:cs="Arial"/>
          <w:color w:val="FF0000"/>
          <w:sz w:val="20"/>
          <w:szCs w:val="20"/>
        </w:rPr>
        <w:t xml:space="preserve">Texte suivant à ajouter si le solde des pertes actuarielles non amorties reconnues est inférieur à l’incidence sur le coût des services passés : </w:t>
      </w:r>
      <w:r w:rsidRPr="00AB4289">
        <w:rPr>
          <w:rFonts w:ascii="Arial" w:hAnsi="Arial" w:cs="Arial"/>
          <w:sz w:val="20"/>
          <w:szCs w:val="20"/>
        </w:rPr>
        <w:t>Le gain net résultant de l’excédent de l’incidence sur le coût des services passés sur le solde des pertes actuarielles</w:t>
      </w:r>
      <w:r w:rsidRPr="007C23E1">
        <w:rPr>
          <w:rFonts w:ascii="Arial" w:hAnsi="Arial" w:cs="Arial"/>
          <w:sz w:val="20"/>
          <w:szCs w:val="20"/>
        </w:rPr>
        <w:t xml:space="preserve"> nettes reconnues a été constaté en diminution de la charge d’avantages sociaux futurs à l’état des résultats [consolidé]. Ce gain a fait l’objet d’un ajustement du solde de dépenses constatées à taxer ou à pourvoir à l’état de l’excédent (déficit) de fonctionnement à des fins fiscales.</w:t>
      </w:r>
    </w:p>
    <w:p w:rsidR="00C83170" w:rsidRPr="00C83170" w:rsidRDefault="00C83170" w:rsidP="00C83170">
      <w:pPr>
        <w:spacing w:after="0"/>
        <w:ind w:left="360" w:hanging="360"/>
        <w:contextualSpacing/>
        <w:jc w:val="both"/>
        <w:rPr>
          <w:rFonts w:ascii="Arial" w:hAnsi="Arial" w:cs="Arial"/>
          <w:sz w:val="20"/>
          <w:szCs w:val="20"/>
        </w:rPr>
      </w:pPr>
    </w:p>
    <w:p w:rsidR="000677C1" w:rsidRDefault="000677C1" w:rsidP="00C83170">
      <w:pPr>
        <w:pStyle w:val="Paragraphedeliste"/>
        <w:numPr>
          <w:ilvl w:val="0"/>
          <w:numId w:val="8"/>
        </w:numPr>
        <w:spacing w:after="0"/>
        <w:jc w:val="both"/>
        <w:rPr>
          <w:rFonts w:ascii="Arial" w:hAnsi="Arial" w:cs="Arial"/>
          <w:sz w:val="20"/>
          <w:szCs w:val="20"/>
        </w:rPr>
      </w:pPr>
      <w:r w:rsidRPr="007C23E1">
        <w:rPr>
          <w:rFonts w:ascii="Arial" w:hAnsi="Arial" w:cs="Arial"/>
          <w:sz w:val="20"/>
          <w:szCs w:val="20"/>
        </w:rPr>
        <w:t>Le total de</w:t>
      </w:r>
      <w:r>
        <w:rPr>
          <w:rFonts w:ascii="Arial" w:hAnsi="Arial" w:cs="Arial"/>
          <w:sz w:val="20"/>
          <w:szCs w:val="20"/>
        </w:rPr>
        <w:t xml:space="preserve">s incidences sur le coût des services passés </w:t>
      </w:r>
      <w:r w:rsidRPr="00AB4289">
        <w:rPr>
          <w:rFonts w:ascii="Arial" w:hAnsi="Arial" w:cs="Arial"/>
          <w:sz w:val="20"/>
          <w:szCs w:val="20"/>
        </w:rPr>
        <w:t>devrait correspondre au montant inscrit à la ligne 20 de la page S24-1 (sauf s’il y a d’autres modifications au cours de l’exercice).</w:t>
      </w:r>
    </w:p>
    <w:p w:rsidR="00C83170" w:rsidRPr="00C83170" w:rsidRDefault="00C83170" w:rsidP="00C83170">
      <w:pPr>
        <w:spacing w:after="0"/>
        <w:ind w:left="360" w:hanging="360"/>
        <w:contextualSpacing/>
        <w:jc w:val="both"/>
        <w:rPr>
          <w:rFonts w:ascii="Arial" w:hAnsi="Arial" w:cs="Arial"/>
          <w:sz w:val="20"/>
          <w:szCs w:val="20"/>
        </w:rPr>
      </w:pPr>
    </w:p>
    <w:p w:rsidR="000677C1" w:rsidRDefault="000677C1" w:rsidP="00C83170">
      <w:pPr>
        <w:pStyle w:val="Paragraphedeliste"/>
        <w:numPr>
          <w:ilvl w:val="0"/>
          <w:numId w:val="8"/>
        </w:numPr>
        <w:jc w:val="both"/>
        <w:rPr>
          <w:rFonts w:ascii="Arial" w:hAnsi="Arial" w:cs="Arial"/>
          <w:sz w:val="20"/>
          <w:szCs w:val="20"/>
        </w:rPr>
      </w:pPr>
      <w:r w:rsidRPr="00AB4289">
        <w:rPr>
          <w:rFonts w:ascii="Arial" w:hAnsi="Arial" w:cs="Arial"/>
          <w:sz w:val="20"/>
          <w:szCs w:val="20"/>
        </w:rPr>
        <w:t>Le total des pertes actuarielles nettes constatées en contrepartie devrait correspondre au montant inscrit à la ligne 26 de la page S24-1 (sauf s’il y a d’autres modifi</w:t>
      </w:r>
      <w:r w:rsidR="00C83170">
        <w:rPr>
          <w:rFonts w:ascii="Arial" w:hAnsi="Arial" w:cs="Arial"/>
          <w:sz w:val="20"/>
          <w:szCs w:val="20"/>
        </w:rPr>
        <w:t>cations au cours de l’exercice).</w:t>
      </w:r>
    </w:p>
    <w:sectPr w:rsidR="000677C1" w:rsidSect="00BF2677">
      <w:headerReference w:type="even" r:id="rId10"/>
      <w:headerReference w:type="default" r:id="rId11"/>
      <w:footerReference w:type="even" r:id="rId12"/>
      <w:footerReference w:type="default" r:id="rId13"/>
      <w:headerReference w:type="first" r:id="rId14"/>
      <w:footerReference w:type="first" r:id="rId15"/>
      <w:pgSz w:w="12240" w:h="15840"/>
      <w:pgMar w:top="1304" w:right="1418" w:bottom="1134"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ouchard, Yvon" w:date="2016-02-19T08:47:00Z" w:initials="BY">
    <w:p w:rsidR="00416034" w:rsidRDefault="00416034" w:rsidP="000F4D5B">
      <w:pPr>
        <w:pStyle w:val="Commentaire"/>
      </w:pPr>
      <w:r>
        <w:rPr>
          <w:rStyle w:val="Marquedecommentaire"/>
        </w:rPr>
        <w:annotationRef/>
      </w:r>
      <w:r>
        <w:rPr>
          <w:noProof/>
        </w:rPr>
        <w:t>Il faudrait apporter la même modification pour le modèle avec tableau.</w:t>
      </w:r>
    </w:p>
  </w:comment>
  <w:comment w:id="2" w:author="Martin Raymond" w:date="2016-03-07T16:04:00Z" w:initials="MR">
    <w:p w:rsidR="00966986" w:rsidRDefault="00966986">
      <w:pPr>
        <w:pStyle w:val="Commentaire"/>
      </w:pPr>
      <w:r>
        <w:rPr>
          <w:rStyle w:val="Marquedecommentaire"/>
        </w:rPr>
        <w:annotationRef/>
      </w:r>
      <w:r w:rsidRPr="00AD3B73">
        <w:t>Certains régimes ont fait l’objet de nouvelles évaluations – par exemple pour table de mortalité ajustée ou des clauses d’indexation – et des résultats différents ont été obtenus sur le partage du déficit notamment. Donc ajustements possibles au coût des services passés en 2015 et aux amortissements vs ce qui était fait précédemment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9143C8" w15:done="0"/>
  <w15:commentEx w15:paraId="3CF39E70" w15:done="0"/>
  <w15:commentEx w15:paraId="5D9E342E" w15:done="0"/>
  <w15:commentEx w15:paraId="53E89A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535" w:rsidRDefault="00595535" w:rsidP="00DC5188">
      <w:pPr>
        <w:spacing w:after="0" w:line="240" w:lineRule="auto"/>
      </w:pPr>
      <w:r>
        <w:separator/>
      </w:r>
    </w:p>
  </w:endnote>
  <w:endnote w:type="continuationSeparator" w:id="0">
    <w:p w:rsidR="00595535" w:rsidRDefault="00595535" w:rsidP="00DC5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034" w:rsidRDefault="0041603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034" w:rsidRDefault="0041603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034" w:rsidRDefault="0041603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535" w:rsidRDefault="00595535" w:rsidP="00DC5188">
      <w:pPr>
        <w:spacing w:after="0" w:line="240" w:lineRule="auto"/>
      </w:pPr>
      <w:r>
        <w:separator/>
      </w:r>
    </w:p>
  </w:footnote>
  <w:footnote w:type="continuationSeparator" w:id="0">
    <w:p w:rsidR="00595535" w:rsidRDefault="00595535" w:rsidP="00DC5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034" w:rsidRDefault="0041603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034" w:rsidRDefault="0041603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034" w:rsidRDefault="0041603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5654C"/>
    <w:multiLevelType w:val="hybridMultilevel"/>
    <w:tmpl w:val="9C54DBE4"/>
    <w:lvl w:ilvl="0" w:tplc="57C6A0EA">
      <w:start w:val="19"/>
      <w:numFmt w:val="bullet"/>
      <w:lvlText w:val=""/>
      <w:lvlJc w:val="left"/>
      <w:pPr>
        <w:ind w:left="720" w:hanging="360"/>
      </w:pPr>
      <w:rPr>
        <w:rFonts w:ascii="Symbol" w:eastAsia="Times New Roman"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1">
    <w:nsid w:val="481933A0"/>
    <w:multiLevelType w:val="hybridMultilevel"/>
    <w:tmpl w:val="BE1E2068"/>
    <w:lvl w:ilvl="0" w:tplc="424248DE">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nsid w:val="4C954134"/>
    <w:multiLevelType w:val="hybridMultilevel"/>
    <w:tmpl w:val="2EA84D54"/>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nsid w:val="4EC073B3"/>
    <w:multiLevelType w:val="hybridMultilevel"/>
    <w:tmpl w:val="A3965BCA"/>
    <w:lvl w:ilvl="0" w:tplc="E34676C4">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nsid w:val="503C5B02"/>
    <w:multiLevelType w:val="hybridMultilevel"/>
    <w:tmpl w:val="640C81EA"/>
    <w:lvl w:ilvl="0" w:tplc="0C0C0001">
      <w:start w:val="1"/>
      <w:numFmt w:val="bullet"/>
      <w:lvlText w:val=""/>
      <w:lvlJc w:val="left"/>
      <w:pPr>
        <w:ind w:left="360" w:hanging="360"/>
      </w:pPr>
      <w:rPr>
        <w:rFonts w:ascii="Symbol" w:hAnsi="Symbol" w:hint="default"/>
      </w:rPr>
    </w:lvl>
    <w:lvl w:ilvl="1" w:tplc="BFE6716E">
      <w:start w:val="1"/>
      <w:numFmt w:val="bullet"/>
      <w:lvlText w:val="-"/>
      <w:lvlJc w:val="left"/>
      <w:pPr>
        <w:ind w:left="1080" w:hanging="360"/>
      </w:pPr>
      <w:rPr>
        <w:rFonts w:ascii="Times New Roman" w:hAnsi="Times New Roman" w:cs="Times New Roman"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nsid w:val="701F2BA4"/>
    <w:multiLevelType w:val="hybridMultilevel"/>
    <w:tmpl w:val="8DDC9F8C"/>
    <w:lvl w:ilvl="0" w:tplc="77D0E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000D7F"/>
    <w:multiLevelType w:val="hybridMultilevel"/>
    <w:tmpl w:val="BE1E2068"/>
    <w:lvl w:ilvl="0" w:tplc="424248DE">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nsid w:val="7C760EE2"/>
    <w:multiLevelType w:val="hybridMultilevel"/>
    <w:tmpl w:val="9920DA4C"/>
    <w:lvl w:ilvl="0" w:tplc="0A62B9DA">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0"/>
  </w:num>
  <w:num w:numId="5">
    <w:abstractNumId w:val="2"/>
  </w:num>
  <w:num w:numId="6">
    <w:abstractNumId w:val="5"/>
  </w:num>
  <w:num w:numId="7">
    <w:abstractNumId w:val="7"/>
  </w:num>
  <w:num w:numId="8">
    <w:abstractNumId w:val="1"/>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ane Landry">
    <w15:presenceInfo w15:providerId="Windows Live" w15:userId="ff157a7471cfe717"/>
  </w15:person>
  <w15:person w15:author="Martin Raymond">
    <w15:presenceInfo w15:providerId="None" w15:userId="Martin Raymo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2A"/>
    <w:rsid w:val="00061ADB"/>
    <w:rsid w:val="000677C1"/>
    <w:rsid w:val="00087011"/>
    <w:rsid w:val="000C0D65"/>
    <w:rsid w:val="000C19B0"/>
    <w:rsid w:val="000C691C"/>
    <w:rsid w:val="000D291B"/>
    <w:rsid w:val="000F4D5B"/>
    <w:rsid w:val="000F70D7"/>
    <w:rsid w:val="0010637D"/>
    <w:rsid w:val="00112D1D"/>
    <w:rsid w:val="00161EEE"/>
    <w:rsid w:val="00174D9F"/>
    <w:rsid w:val="0018231B"/>
    <w:rsid w:val="001F1599"/>
    <w:rsid w:val="00242F59"/>
    <w:rsid w:val="00255B1E"/>
    <w:rsid w:val="00284802"/>
    <w:rsid w:val="002A3B07"/>
    <w:rsid w:val="002C519E"/>
    <w:rsid w:val="002D153B"/>
    <w:rsid w:val="002E4828"/>
    <w:rsid w:val="00305318"/>
    <w:rsid w:val="00312C1B"/>
    <w:rsid w:val="0033374D"/>
    <w:rsid w:val="003641C9"/>
    <w:rsid w:val="00387DD9"/>
    <w:rsid w:val="00390FF0"/>
    <w:rsid w:val="00395B2C"/>
    <w:rsid w:val="003E4A78"/>
    <w:rsid w:val="003F0666"/>
    <w:rsid w:val="00416034"/>
    <w:rsid w:val="00422B80"/>
    <w:rsid w:val="00450AA3"/>
    <w:rsid w:val="00460B94"/>
    <w:rsid w:val="00465D4B"/>
    <w:rsid w:val="0047156F"/>
    <w:rsid w:val="004A7D19"/>
    <w:rsid w:val="004B147C"/>
    <w:rsid w:val="004D1A84"/>
    <w:rsid w:val="00520EEF"/>
    <w:rsid w:val="00536ED6"/>
    <w:rsid w:val="00543D70"/>
    <w:rsid w:val="00570DA4"/>
    <w:rsid w:val="00595535"/>
    <w:rsid w:val="00597F77"/>
    <w:rsid w:val="005C2972"/>
    <w:rsid w:val="006007F2"/>
    <w:rsid w:val="00614A8D"/>
    <w:rsid w:val="00662F30"/>
    <w:rsid w:val="00676AC9"/>
    <w:rsid w:val="00677A7D"/>
    <w:rsid w:val="00681074"/>
    <w:rsid w:val="00682E24"/>
    <w:rsid w:val="006978F9"/>
    <w:rsid w:val="006A13D8"/>
    <w:rsid w:val="006B442D"/>
    <w:rsid w:val="006D56DA"/>
    <w:rsid w:val="006E4201"/>
    <w:rsid w:val="006E57AB"/>
    <w:rsid w:val="00772A2A"/>
    <w:rsid w:val="0077386F"/>
    <w:rsid w:val="00774A82"/>
    <w:rsid w:val="0078229C"/>
    <w:rsid w:val="00791AA5"/>
    <w:rsid w:val="00797E64"/>
    <w:rsid w:val="007A253D"/>
    <w:rsid w:val="007B72A6"/>
    <w:rsid w:val="007C23E1"/>
    <w:rsid w:val="007D69C8"/>
    <w:rsid w:val="007F1C2A"/>
    <w:rsid w:val="008103BF"/>
    <w:rsid w:val="00896553"/>
    <w:rsid w:val="008A6811"/>
    <w:rsid w:val="008B71FA"/>
    <w:rsid w:val="008F4592"/>
    <w:rsid w:val="0093718A"/>
    <w:rsid w:val="00937A62"/>
    <w:rsid w:val="00957B1A"/>
    <w:rsid w:val="00966986"/>
    <w:rsid w:val="0098478A"/>
    <w:rsid w:val="0098692B"/>
    <w:rsid w:val="009A081E"/>
    <w:rsid w:val="009A21CF"/>
    <w:rsid w:val="009B0FD7"/>
    <w:rsid w:val="009C22FA"/>
    <w:rsid w:val="009E5177"/>
    <w:rsid w:val="00A02A76"/>
    <w:rsid w:val="00A0445B"/>
    <w:rsid w:val="00A14BE1"/>
    <w:rsid w:val="00A15F20"/>
    <w:rsid w:val="00A379F0"/>
    <w:rsid w:val="00A46BD8"/>
    <w:rsid w:val="00A76D9A"/>
    <w:rsid w:val="00AA2B74"/>
    <w:rsid w:val="00AB3415"/>
    <w:rsid w:val="00AB4289"/>
    <w:rsid w:val="00AD3B73"/>
    <w:rsid w:val="00AD4C33"/>
    <w:rsid w:val="00AD7E85"/>
    <w:rsid w:val="00AF34E4"/>
    <w:rsid w:val="00B13C02"/>
    <w:rsid w:val="00B40593"/>
    <w:rsid w:val="00B4440B"/>
    <w:rsid w:val="00B8372B"/>
    <w:rsid w:val="00BF103D"/>
    <w:rsid w:val="00BF2677"/>
    <w:rsid w:val="00C06D1E"/>
    <w:rsid w:val="00C113A4"/>
    <w:rsid w:val="00C23DC2"/>
    <w:rsid w:val="00C545BD"/>
    <w:rsid w:val="00C71F7C"/>
    <w:rsid w:val="00C83170"/>
    <w:rsid w:val="00CB0315"/>
    <w:rsid w:val="00CE6DBB"/>
    <w:rsid w:val="00CF42C9"/>
    <w:rsid w:val="00CF666C"/>
    <w:rsid w:val="00D37AD6"/>
    <w:rsid w:val="00D548A3"/>
    <w:rsid w:val="00D844DE"/>
    <w:rsid w:val="00DA1145"/>
    <w:rsid w:val="00DC5188"/>
    <w:rsid w:val="00E20B86"/>
    <w:rsid w:val="00E51D78"/>
    <w:rsid w:val="00E71F1B"/>
    <w:rsid w:val="00E91C0B"/>
    <w:rsid w:val="00E966A0"/>
    <w:rsid w:val="00EB7A69"/>
    <w:rsid w:val="00EE1C7A"/>
    <w:rsid w:val="00F00927"/>
    <w:rsid w:val="00F1100C"/>
    <w:rsid w:val="00F3208B"/>
    <w:rsid w:val="00F535E9"/>
    <w:rsid w:val="00F95BED"/>
    <w:rsid w:val="00F96973"/>
    <w:rsid w:val="00FA41DF"/>
    <w:rsid w:val="00FB0B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A4"/>
    <w:pPr>
      <w:spacing w:after="200" w:line="276" w:lineRule="auto"/>
    </w:pPr>
    <w:rPr>
      <w:rFonts w:cs="Calibri"/>
      <w:lang w:eastAsia="en-US"/>
    </w:rPr>
  </w:style>
  <w:style w:type="paragraph" w:styleId="Titre1">
    <w:name w:val="heading 1"/>
    <w:basedOn w:val="Normal"/>
    <w:next w:val="Normal"/>
    <w:link w:val="Titre1Car"/>
    <w:uiPriority w:val="9"/>
    <w:qFormat/>
    <w:rsid w:val="000677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F95B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5BED"/>
    <w:rPr>
      <w:rFonts w:ascii="Segoe UI" w:hAnsi="Segoe UI" w:cs="Segoe UI"/>
      <w:sz w:val="18"/>
      <w:szCs w:val="18"/>
    </w:rPr>
  </w:style>
  <w:style w:type="paragraph" w:styleId="Paragraphedeliste">
    <w:name w:val="List Paragraph"/>
    <w:basedOn w:val="Normal"/>
    <w:uiPriority w:val="99"/>
    <w:qFormat/>
    <w:rsid w:val="00772A2A"/>
    <w:pPr>
      <w:ind w:left="720"/>
      <w:contextualSpacing/>
    </w:pPr>
  </w:style>
  <w:style w:type="table" w:styleId="Grilledutableau">
    <w:name w:val="Table Grid"/>
    <w:basedOn w:val="TableauNormal"/>
    <w:uiPriority w:val="99"/>
    <w:rsid w:val="00242F5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rsid w:val="00F95BED"/>
    <w:rPr>
      <w:sz w:val="16"/>
      <w:szCs w:val="16"/>
    </w:rPr>
  </w:style>
  <w:style w:type="paragraph" w:styleId="Commentaire">
    <w:name w:val="annotation text"/>
    <w:basedOn w:val="Normal"/>
    <w:link w:val="CommentaireCar"/>
    <w:uiPriority w:val="99"/>
    <w:semiHidden/>
    <w:rsid w:val="00F95BED"/>
    <w:pPr>
      <w:spacing w:line="240" w:lineRule="auto"/>
    </w:pPr>
    <w:rPr>
      <w:sz w:val="20"/>
      <w:szCs w:val="20"/>
    </w:rPr>
  </w:style>
  <w:style w:type="character" w:customStyle="1" w:styleId="CommentaireCar">
    <w:name w:val="Commentaire Car"/>
    <w:basedOn w:val="Policepardfaut"/>
    <w:link w:val="Commentaire"/>
    <w:uiPriority w:val="99"/>
    <w:semiHidden/>
    <w:rsid w:val="00F95BED"/>
    <w:rPr>
      <w:sz w:val="20"/>
      <w:szCs w:val="20"/>
    </w:rPr>
  </w:style>
  <w:style w:type="paragraph" w:styleId="Objetducommentaire">
    <w:name w:val="annotation subject"/>
    <w:basedOn w:val="Commentaire"/>
    <w:next w:val="Commentaire"/>
    <w:link w:val="ObjetducommentaireCar"/>
    <w:uiPriority w:val="99"/>
    <w:semiHidden/>
    <w:rsid w:val="00F95BED"/>
    <w:rPr>
      <w:b/>
      <w:bCs/>
    </w:rPr>
  </w:style>
  <w:style w:type="character" w:customStyle="1" w:styleId="ObjetducommentaireCar">
    <w:name w:val="Objet du commentaire Car"/>
    <w:basedOn w:val="CommentaireCar"/>
    <w:link w:val="Objetducommentaire"/>
    <w:uiPriority w:val="99"/>
    <w:semiHidden/>
    <w:rsid w:val="00F95BED"/>
    <w:rPr>
      <w:b/>
      <w:bCs/>
      <w:sz w:val="20"/>
      <w:szCs w:val="20"/>
    </w:rPr>
  </w:style>
  <w:style w:type="paragraph" w:styleId="En-tte">
    <w:name w:val="header"/>
    <w:basedOn w:val="Normal"/>
    <w:link w:val="En-tteCar"/>
    <w:uiPriority w:val="99"/>
    <w:unhideWhenUsed/>
    <w:rsid w:val="00DC5188"/>
    <w:pPr>
      <w:tabs>
        <w:tab w:val="center" w:pos="4320"/>
        <w:tab w:val="right" w:pos="8640"/>
      </w:tabs>
      <w:spacing w:after="0" w:line="240" w:lineRule="auto"/>
    </w:pPr>
  </w:style>
  <w:style w:type="character" w:customStyle="1" w:styleId="En-tteCar">
    <w:name w:val="En-tête Car"/>
    <w:basedOn w:val="Policepardfaut"/>
    <w:link w:val="En-tte"/>
    <w:uiPriority w:val="99"/>
    <w:rsid w:val="00DC5188"/>
    <w:rPr>
      <w:rFonts w:cs="Calibri"/>
      <w:lang w:eastAsia="en-US"/>
    </w:rPr>
  </w:style>
  <w:style w:type="paragraph" w:styleId="Pieddepage">
    <w:name w:val="footer"/>
    <w:basedOn w:val="Normal"/>
    <w:link w:val="PieddepageCar"/>
    <w:uiPriority w:val="99"/>
    <w:unhideWhenUsed/>
    <w:rsid w:val="00DC518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C5188"/>
    <w:rPr>
      <w:rFonts w:cs="Calibri"/>
      <w:lang w:eastAsia="en-US"/>
    </w:rPr>
  </w:style>
  <w:style w:type="paragraph" w:styleId="Rvision">
    <w:name w:val="Revision"/>
    <w:hidden/>
    <w:uiPriority w:val="99"/>
    <w:semiHidden/>
    <w:rsid w:val="00CE6DBB"/>
    <w:rPr>
      <w:rFonts w:cs="Calibri"/>
      <w:lang w:eastAsia="en-US"/>
    </w:rPr>
  </w:style>
  <w:style w:type="character" w:customStyle="1" w:styleId="Titre1Car">
    <w:name w:val="Titre 1 Car"/>
    <w:basedOn w:val="Policepardfaut"/>
    <w:link w:val="Titre1"/>
    <w:uiPriority w:val="9"/>
    <w:rsid w:val="000677C1"/>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A4"/>
    <w:pPr>
      <w:spacing w:after="200" w:line="276" w:lineRule="auto"/>
    </w:pPr>
    <w:rPr>
      <w:rFonts w:cs="Calibri"/>
      <w:lang w:eastAsia="en-US"/>
    </w:rPr>
  </w:style>
  <w:style w:type="paragraph" w:styleId="Titre1">
    <w:name w:val="heading 1"/>
    <w:basedOn w:val="Normal"/>
    <w:next w:val="Normal"/>
    <w:link w:val="Titre1Car"/>
    <w:uiPriority w:val="9"/>
    <w:qFormat/>
    <w:rsid w:val="000677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F95B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5BED"/>
    <w:rPr>
      <w:rFonts w:ascii="Segoe UI" w:hAnsi="Segoe UI" w:cs="Segoe UI"/>
      <w:sz w:val="18"/>
      <w:szCs w:val="18"/>
    </w:rPr>
  </w:style>
  <w:style w:type="paragraph" w:styleId="Paragraphedeliste">
    <w:name w:val="List Paragraph"/>
    <w:basedOn w:val="Normal"/>
    <w:uiPriority w:val="99"/>
    <w:qFormat/>
    <w:rsid w:val="00772A2A"/>
    <w:pPr>
      <w:ind w:left="720"/>
      <w:contextualSpacing/>
    </w:pPr>
  </w:style>
  <w:style w:type="table" w:styleId="Grilledutableau">
    <w:name w:val="Table Grid"/>
    <w:basedOn w:val="TableauNormal"/>
    <w:uiPriority w:val="99"/>
    <w:rsid w:val="00242F5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rsid w:val="00F95BED"/>
    <w:rPr>
      <w:sz w:val="16"/>
      <w:szCs w:val="16"/>
    </w:rPr>
  </w:style>
  <w:style w:type="paragraph" w:styleId="Commentaire">
    <w:name w:val="annotation text"/>
    <w:basedOn w:val="Normal"/>
    <w:link w:val="CommentaireCar"/>
    <w:uiPriority w:val="99"/>
    <w:semiHidden/>
    <w:rsid w:val="00F95BED"/>
    <w:pPr>
      <w:spacing w:line="240" w:lineRule="auto"/>
    </w:pPr>
    <w:rPr>
      <w:sz w:val="20"/>
      <w:szCs w:val="20"/>
    </w:rPr>
  </w:style>
  <w:style w:type="character" w:customStyle="1" w:styleId="CommentaireCar">
    <w:name w:val="Commentaire Car"/>
    <w:basedOn w:val="Policepardfaut"/>
    <w:link w:val="Commentaire"/>
    <w:uiPriority w:val="99"/>
    <w:semiHidden/>
    <w:rsid w:val="00F95BED"/>
    <w:rPr>
      <w:sz w:val="20"/>
      <w:szCs w:val="20"/>
    </w:rPr>
  </w:style>
  <w:style w:type="paragraph" w:styleId="Objetducommentaire">
    <w:name w:val="annotation subject"/>
    <w:basedOn w:val="Commentaire"/>
    <w:next w:val="Commentaire"/>
    <w:link w:val="ObjetducommentaireCar"/>
    <w:uiPriority w:val="99"/>
    <w:semiHidden/>
    <w:rsid w:val="00F95BED"/>
    <w:rPr>
      <w:b/>
      <w:bCs/>
    </w:rPr>
  </w:style>
  <w:style w:type="character" w:customStyle="1" w:styleId="ObjetducommentaireCar">
    <w:name w:val="Objet du commentaire Car"/>
    <w:basedOn w:val="CommentaireCar"/>
    <w:link w:val="Objetducommentaire"/>
    <w:uiPriority w:val="99"/>
    <w:semiHidden/>
    <w:rsid w:val="00F95BED"/>
    <w:rPr>
      <w:b/>
      <w:bCs/>
      <w:sz w:val="20"/>
      <w:szCs w:val="20"/>
    </w:rPr>
  </w:style>
  <w:style w:type="paragraph" w:styleId="En-tte">
    <w:name w:val="header"/>
    <w:basedOn w:val="Normal"/>
    <w:link w:val="En-tteCar"/>
    <w:uiPriority w:val="99"/>
    <w:unhideWhenUsed/>
    <w:rsid w:val="00DC5188"/>
    <w:pPr>
      <w:tabs>
        <w:tab w:val="center" w:pos="4320"/>
        <w:tab w:val="right" w:pos="8640"/>
      </w:tabs>
      <w:spacing w:after="0" w:line="240" w:lineRule="auto"/>
    </w:pPr>
  </w:style>
  <w:style w:type="character" w:customStyle="1" w:styleId="En-tteCar">
    <w:name w:val="En-tête Car"/>
    <w:basedOn w:val="Policepardfaut"/>
    <w:link w:val="En-tte"/>
    <w:uiPriority w:val="99"/>
    <w:rsid w:val="00DC5188"/>
    <w:rPr>
      <w:rFonts w:cs="Calibri"/>
      <w:lang w:eastAsia="en-US"/>
    </w:rPr>
  </w:style>
  <w:style w:type="paragraph" w:styleId="Pieddepage">
    <w:name w:val="footer"/>
    <w:basedOn w:val="Normal"/>
    <w:link w:val="PieddepageCar"/>
    <w:uiPriority w:val="99"/>
    <w:unhideWhenUsed/>
    <w:rsid w:val="00DC518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C5188"/>
    <w:rPr>
      <w:rFonts w:cs="Calibri"/>
      <w:lang w:eastAsia="en-US"/>
    </w:rPr>
  </w:style>
  <w:style w:type="paragraph" w:styleId="Rvision">
    <w:name w:val="Revision"/>
    <w:hidden/>
    <w:uiPriority w:val="99"/>
    <w:semiHidden/>
    <w:rsid w:val="00CE6DBB"/>
    <w:rPr>
      <w:rFonts w:cs="Calibri"/>
      <w:lang w:eastAsia="en-US"/>
    </w:rPr>
  </w:style>
  <w:style w:type="character" w:customStyle="1" w:styleId="Titre1Car">
    <w:name w:val="Titre 1 Car"/>
    <w:basedOn w:val="Policepardfaut"/>
    <w:link w:val="Titre1"/>
    <w:uiPriority w:val="9"/>
    <w:rsid w:val="000677C1"/>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36936">
      <w:bodyDiv w:val="1"/>
      <w:marLeft w:val="0"/>
      <w:marRight w:val="0"/>
      <w:marTop w:val="0"/>
      <w:marBottom w:val="0"/>
      <w:divBdr>
        <w:top w:val="none" w:sz="0" w:space="0" w:color="auto"/>
        <w:left w:val="none" w:sz="0" w:space="0" w:color="auto"/>
        <w:bottom w:val="none" w:sz="0" w:space="0" w:color="auto"/>
        <w:right w:val="none" w:sz="0" w:space="0" w:color="auto"/>
      </w:divBdr>
    </w:div>
    <w:div w:id="798573568">
      <w:marLeft w:val="0"/>
      <w:marRight w:val="0"/>
      <w:marTop w:val="0"/>
      <w:marBottom w:val="0"/>
      <w:divBdr>
        <w:top w:val="none" w:sz="0" w:space="0" w:color="auto"/>
        <w:left w:val="none" w:sz="0" w:space="0" w:color="auto"/>
        <w:bottom w:val="none" w:sz="0" w:space="0" w:color="auto"/>
        <w:right w:val="none" w:sz="0" w:space="0" w:color="auto"/>
      </w:divBdr>
    </w:div>
    <w:div w:id="1382948859">
      <w:bodyDiv w:val="1"/>
      <w:marLeft w:val="0"/>
      <w:marRight w:val="0"/>
      <w:marTop w:val="0"/>
      <w:marBottom w:val="0"/>
      <w:divBdr>
        <w:top w:val="none" w:sz="0" w:space="0" w:color="auto"/>
        <w:left w:val="none" w:sz="0" w:space="0" w:color="auto"/>
        <w:bottom w:val="none" w:sz="0" w:space="0" w:color="auto"/>
        <w:right w:val="none" w:sz="0" w:space="0" w:color="auto"/>
      </w:divBdr>
    </w:div>
    <w:div w:id="142044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88400-D3D7-451C-9AA5-69051A2B6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1543</Words>
  <Characters>7744</Characters>
  <Application>Microsoft Office Word</Application>
  <DocSecurity>4</DocSecurity>
  <Lines>64</Lines>
  <Paragraphs>18</Paragraphs>
  <ScaleCrop>false</ScaleCrop>
  <HeadingPairs>
    <vt:vector size="2" baseType="variant">
      <vt:variant>
        <vt:lpstr>Titre</vt:lpstr>
      </vt:variant>
      <vt:variant>
        <vt:i4>1</vt:i4>
      </vt:variant>
    </vt:vector>
  </HeadingPairs>
  <TitlesOfParts>
    <vt:vector size="1" baseType="lpstr">
      <vt:lpstr>AUTRES RENSEIGNEMENTS COMPLÉMENTAIRES CONSOLIDÉS</vt:lpstr>
    </vt:vector>
  </TitlesOfParts>
  <Company>Raymond Chabot Grant Thorton</Company>
  <LinksUpToDate>false</LinksUpToDate>
  <CharactersWithSpaces>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AUTRES RENSEIGNEMENTS COMPLÉMENTAIRES CONSOLIDÉS</dc:title>
  <dc:creator>Landry, Stéphane</dc:creator>
  <cp:lastModifiedBy>Catherine Thibault</cp:lastModifiedBy>
  <cp:revision>2</cp:revision>
  <cp:lastPrinted>2015-03-27T12:42:00Z</cp:lastPrinted>
  <dcterms:created xsi:type="dcterms:W3CDTF">2016-03-08T18:53:00Z</dcterms:created>
  <dcterms:modified xsi:type="dcterms:W3CDTF">2016-03-08T18:53:00Z</dcterms:modified>
</cp:coreProperties>
</file>