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4" w:rightFromText="144" w:vertAnchor="page" w:tblpXSpec="center" w:tblpY="4148"/>
        <w:tblOverlap w:val="never"/>
        <w:tblW w:w="0" w:type="auto"/>
        <w:tblLook w:val="01E0" w:firstRow="1" w:lastRow="1" w:firstColumn="1" w:lastColumn="1" w:noHBand="0" w:noVBand="0"/>
      </w:tblPr>
      <w:tblGrid>
        <w:gridCol w:w="5933"/>
      </w:tblGrid>
      <w:tr w:rsidR="00454719" w:rsidRPr="00454719" w14:paraId="78D28FC8" w14:textId="77777777" w:rsidTr="005C1713">
        <w:trPr>
          <w:trHeight w:hRule="exact" w:val="3240"/>
        </w:trPr>
        <w:tc>
          <w:tcPr>
            <w:tcW w:w="5933" w:type="dxa"/>
            <w:shd w:val="clear" w:color="auto" w:fill="auto"/>
            <w:vAlign w:val="center"/>
          </w:tcPr>
          <w:p w14:paraId="792E1B19" w14:textId="77777777" w:rsidR="00454719" w:rsidRPr="00454719" w:rsidRDefault="00454719" w:rsidP="00170662">
            <w:pPr>
              <w:jc w:val="center"/>
              <w:rPr>
                <w:rFonts w:cs="Arial"/>
                <w:sz w:val="28"/>
                <w:szCs w:val="28"/>
                <w:lang w:eastAsia="en-US"/>
              </w:rPr>
            </w:pPr>
            <w:bookmarkStart w:id="0" w:name="_Toc368571830"/>
            <w:r w:rsidRPr="00454719">
              <w:rPr>
                <w:rFonts w:cs="Arial"/>
                <w:noProof/>
                <w:sz w:val="36"/>
                <w:szCs w:val="36"/>
                <w:lang w:eastAsia="en-US"/>
              </w:rPr>
              <w:t>Liste de contrôle – Roulement de biens à une entreprise</w:t>
            </w:r>
          </w:p>
        </w:tc>
      </w:tr>
    </w:tbl>
    <w:p w14:paraId="40E2D5AE" w14:textId="77777777" w:rsidR="00454719" w:rsidRPr="00454719" w:rsidRDefault="00454719" w:rsidP="00454719">
      <w:pPr>
        <w:jc w:val="center"/>
        <w:rPr>
          <w:rFonts w:cs="Arial"/>
          <w:sz w:val="22"/>
          <w:lang w:eastAsia="en-US"/>
        </w:rPr>
        <w:sectPr w:rsidR="00454719" w:rsidRPr="00454719" w:rsidSect="005C1713">
          <w:pgSz w:w="12240" w:h="15840" w:code="119"/>
          <w:pgMar w:top="244" w:right="1440" w:bottom="567" w:left="1622" w:header="709" w:footer="363" w:gutter="0"/>
          <w:pgNumType w:start="1"/>
          <w:cols w:space="708"/>
          <w:docGrid w:linePitch="360"/>
        </w:sectPr>
      </w:pPr>
    </w:p>
    <w:p w14:paraId="592C4EF3" w14:textId="77777777" w:rsidR="00454719" w:rsidRPr="00454719" w:rsidRDefault="00454719" w:rsidP="00454719">
      <w:pPr>
        <w:tabs>
          <w:tab w:val="right" w:pos="9356"/>
        </w:tabs>
        <w:ind w:right="-563"/>
        <w:jc w:val="both"/>
        <w:rPr>
          <w:rFonts w:cs="Arial"/>
          <w:sz w:val="22"/>
          <w:lang w:eastAsia="en-US"/>
        </w:rPr>
      </w:pPr>
    </w:p>
    <w:p w14:paraId="13DD98D8" w14:textId="77777777" w:rsidR="00454719" w:rsidRPr="00454719" w:rsidRDefault="00454719" w:rsidP="00454719">
      <w:pPr>
        <w:tabs>
          <w:tab w:val="right" w:pos="9356"/>
        </w:tabs>
        <w:ind w:right="-563"/>
        <w:jc w:val="both"/>
        <w:rPr>
          <w:rFonts w:cs="Arial"/>
          <w:sz w:val="22"/>
          <w:lang w:eastAsia="en-US"/>
        </w:rPr>
      </w:pPr>
    </w:p>
    <w:p w14:paraId="373D64C5" w14:textId="03D623C6" w:rsidR="00454719" w:rsidRPr="00454719" w:rsidRDefault="009D72C0" w:rsidP="00454719">
      <w:pPr>
        <w:tabs>
          <w:tab w:val="right" w:pos="9356"/>
        </w:tabs>
        <w:ind w:right="-563"/>
        <w:jc w:val="both"/>
        <w:rPr>
          <w:rFonts w:cs="Arial"/>
          <w:sz w:val="22"/>
          <w:lang w:eastAsia="en-US"/>
        </w:rPr>
      </w:pPr>
      <w:r>
        <w:rPr>
          <w:rFonts w:cs="Arial"/>
          <w:noProof/>
          <w:sz w:val="22"/>
          <w:lang w:eastAsia="fr-CA"/>
        </w:rPr>
        <w:pict w14:anchorId="0CE07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i1025" type="#_x0000_t75" style="width:153.25pt;height:90.5pt;visibility:visible">
            <v:imagedata r:id="rId8" o:title="Capture"/>
          </v:shape>
        </w:pict>
      </w:r>
    </w:p>
    <w:p w14:paraId="494FAC49" w14:textId="77777777" w:rsidR="00454719" w:rsidRPr="00454719" w:rsidRDefault="00454719" w:rsidP="00454719">
      <w:pPr>
        <w:tabs>
          <w:tab w:val="left" w:pos="9072"/>
        </w:tabs>
        <w:ind w:right="-563"/>
        <w:jc w:val="both"/>
        <w:rPr>
          <w:rFonts w:cs="Arial"/>
          <w:sz w:val="22"/>
          <w:lang w:eastAsia="en-US"/>
        </w:rPr>
      </w:pPr>
    </w:p>
    <w:p w14:paraId="10915ABE" w14:textId="77777777" w:rsidR="00454719" w:rsidRPr="00454719" w:rsidRDefault="00454719" w:rsidP="00454719">
      <w:pPr>
        <w:tabs>
          <w:tab w:val="left" w:pos="9072"/>
        </w:tabs>
        <w:ind w:right="-563"/>
        <w:jc w:val="both"/>
        <w:rPr>
          <w:rFonts w:cs="Arial"/>
          <w:sz w:val="22"/>
          <w:lang w:eastAsia="en-US"/>
        </w:rPr>
      </w:pPr>
    </w:p>
    <w:p w14:paraId="3352E5EB" w14:textId="77777777" w:rsidR="00454719" w:rsidRPr="00454719" w:rsidRDefault="00454719" w:rsidP="00454719">
      <w:pPr>
        <w:tabs>
          <w:tab w:val="left" w:pos="9072"/>
        </w:tabs>
        <w:ind w:right="-563"/>
        <w:jc w:val="both"/>
        <w:rPr>
          <w:rFonts w:cs="Arial"/>
          <w:sz w:val="22"/>
          <w:lang w:eastAsia="en-US"/>
        </w:rPr>
      </w:pPr>
    </w:p>
    <w:p w14:paraId="0E4B395F" w14:textId="77777777" w:rsidR="00454719" w:rsidRPr="00454719" w:rsidRDefault="00454719" w:rsidP="00454719">
      <w:pPr>
        <w:tabs>
          <w:tab w:val="left" w:pos="9072"/>
        </w:tabs>
        <w:ind w:right="-563"/>
        <w:jc w:val="both"/>
        <w:rPr>
          <w:rFonts w:cs="Arial"/>
          <w:sz w:val="22"/>
          <w:lang w:eastAsia="en-US"/>
        </w:rPr>
      </w:pPr>
    </w:p>
    <w:p w14:paraId="76E4B28C" w14:textId="77777777" w:rsidR="00454719" w:rsidRPr="00454719" w:rsidRDefault="00454719" w:rsidP="00454719">
      <w:pPr>
        <w:tabs>
          <w:tab w:val="left" w:pos="9072"/>
        </w:tabs>
        <w:ind w:right="-563"/>
        <w:jc w:val="both"/>
        <w:rPr>
          <w:rFonts w:cs="Arial"/>
          <w:sz w:val="22"/>
          <w:lang w:eastAsia="en-US"/>
        </w:rPr>
      </w:pPr>
    </w:p>
    <w:p w14:paraId="3EA2982D" w14:textId="77777777" w:rsidR="00454719" w:rsidRPr="00454719" w:rsidRDefault="00454719" w:rsidP="00454719">
      <w:pPr>
        <w:tabs>
          <w:tab w:val="left" w:pos="9072"/>
        </w:tabs>
        <w:ind w:right="-563"/>
        <w:jc w:val="both"/>
        <w:rPr>
          <w:rFonts w:cs="Arial"/>
          <w:sz w:val="22"/>
          <w:lang w:eastAsia="en-US"/>
        </w:rPr>
      </w:pPr>
    </w:p>
    <w:p w14:paraId="7EB4BECD" w14:textId="77777777" w:rsidR="00454719" w:rsidRPr="00454719" w:rsidRDefault="00454719" w:rsidP="00454719">
      <w:pPr>
        <w:tabs>
          <w:tab w:val="left" w:pos="9072"/>
        </w:tabs>
        <w:ind w:right="-563"/>
        <w:jc w:val="both"/>
        <w:rPr>
          <w:rFonts w:cs="Arial"/>
          <w:sz w:val="22"/>
          <w:lang w:eastAsia="en-US"/>
        </w:rPr>
      </w:pPr>
    </w:p>
    <w:p w14:paraId="7708B11C" w14:textId="77777777" w:rsidR="00454719" w:rsidRPr="00454719" w:rsidRDefault="00454719" w:rsidP="00454719">
      <w:pPr>
        <w:tabs>
          <w:tab w:val="left" w:pos="9072"/>
        </w:tabs>
        <w:ind w:right="-563"/>
        <w:jc w:val="both"/>
        <w:rPr>
          <w:rFonts w:cs="Arial"/>
          <w:sz w:val="22"/>
          <w:lang w:eastAsia="en-US"/>
        </w:rPr>
      </w:pPr>
    </w:p>
    <w:p w14:paraId="237F7C14" w14:textId="77777777" w:rsidR="00454719" w:rsidRPr="00454719" w:rsidRDefault="00454719" w:rsidP="00454719">
      <w:pPr>
        <w:tabs>
          <w:tab w:val="left" w:pos="9072"/>
        </w:tabs>
        <w:ind w:right="-563"/>
        <w:jc w:val="both"/>
        <w:rPr>
          <w:rFonts w:cs="Arial"/>
          <w:sz w:val="22"/>
          <w:lang w:eastAsia="en-US"/>
        </w:rPr>
      </w:pPr>
    </w:p>
    <w:p w14:paraId="6CC7DD4F" w14:textId="77777777" w:rsidR="00454719" w:rsidRPr="00454719" w:rsidRDefault="00454719" w:rsidP="00454719">
      <w:pPr>
        <w:tabs>
          <w:tab w:val="left" w:pos="9072"/>
        </w:tabs>
        <w:ind w:right="-563"/>
        <w:jc w:val="both"/>
        <w:rPr>
          <w:rFonts w:cs="Arial"/>
          <w:sz w:val="22"/>
          <w:lang w:eastAsia="en-US"/>
        </w:rPr>
      </w:pPr>
    </w:p>
    <w:p w14:paraId="4A821BEE" w14:textId="77777777" w:rsidR="00454719" w:rsidRPr="00454719" w:rsidRDefault="00454719" w:rsidP="00454719">
      <w:pPr>
        <w:tabs>
          <w:tab w:val="left" w:pos="9072"/>
        </w:tabs>
        <w:ind w:right="-563"/>
        <w:jc w:val="both"/>
        <w:rPr>
          <w:rFonts w:cs="Arial"/>
          <w:sz w:val="22"/>
          <w:lang w:eastAsia="en-US"/>
        </w:rPr>
      </w:pPr>
    </w:p>
    <w:p w14:paraId="7C765997" w14:textId="77777777" w:rsidR="00454719" w:rsidRPr="00454719" w:rsidRDefault="00454719" w:rsidP="00454719">
      <w:pPr>
        <w:tabs>
          <w:tab w:val="left" w:pos="9072"/>
        </w:tabs>
        <w:ind w:right="-563"/>
        <w:jc w:val="both"/>
        <w:rPr>
          <w:rFonts w:cs="Arial"/>
          <w:sz w:val="22"/>
          <w:lang w:eastAsia="en-US"/>
        </w:rPr>
      </w:pPr>
    </w:p>
    <w:p w14:paraId="6357F7C8" w14:textId="77777777" w:rsidR="00454719" w:rsidRPr="00454719" w:rsidRDefault="00454719" w:rsidP="00454719">
      <w:pPr>
        <w:tabs>
          <w:tab w:val="left" w:pos="9072"/>
        </w:tabs>
        <w:ind w:right="-563"/>
        <w:jc w:val="both"/>
        <w:rPr>
          <w:rFonts w:cs="Arial"/>
          <w:sz w:val="22"/>
          <w:lang w:eastAsia="en-US"/>
        </w:rPr>
      </w:pPr>
    </w:p>
    <w:p w14:paraId="40C98C4C" w14:textId="77777777" w:rsidR="00454719" w:rsidRPr="00454719" w:rsidRDefault="00454719" w:rsidP="00454719">
      <w:pPr>
        <w:tabs>
          <w:tab w:val="left" w:pos="9072"/>
        </w:tabs>
        <w:ind w:right="-563"/>
        <w:jc w:val="both"/>
        <w:rPr>
          <w:rFonts w:cs="Arial"/>
          <w:sz w:val="22"/>
          <w:lang w:eastAsia="en-US"/>
        </w:rPr>
      </w:pPr>
    </w:p>
    <w:p w14:paraId="0F1814E2" w14:textId="77777777" w:rsidR="00454719" w:rsidRPr="00454719" w:rsidRDefault="00454719" w:rsidP="00454719">
      <w:pPr>
        <w:tabs>
          <w:tab w:val="left" w:pos="9072"/>
        </w:tabs>
        <w:ind w:right="-563"/>
        <w:jc w:val="both"/>
        <w:rPr>
          <w:rFonts w:cs="Arial"/>
          <w:sz w:val="22"/>
          <w:lang w:eastAsia="en-US"/>
        </w:rPr>
      </w:pPr>
    </w:p>
    <w:p w14:paraId="29E5CA57" w14:textId="77777777" w:rsidR="00454719" w:rsidRPr="00454719" w:rsidRDefault="00454719" w:rsidP="00454719">
      <w:pPr>
        <w:tabs>
          <w:tab w:val="left" w:pos="9072"/>
        </w:tabs>
        <w:ind w:right="-563"/>
        <w:jc w:val="both"/>
        <w:rPr>
          <w:rFonts w:cs="Arial"/>
          <w:sz w:val="22"/>
          <w:lang w:eastAsia="en-US"/>
        </w:rPr>
      </w:pPr>
    </w:p>
    <w:p w14:paraId="6F9033D5" w14:textId="77777777" w:rsidR="00454719" w:rsidRPr="00454719" w:rsidRDefault="00454719" w:rsidP="00454719">
      <w:pPr>
        <w:tabs>
          <w:tab w:val="left" w:pos="9072"/>
        </w:tabs>
        <w:ind w:right="-563"/>
        <w:jc w:val="both"/>
        <w:rPr>
          <w:rFonts w:cs="Arial"/>
          <w:sz w:val="22"/>
          <w:lang w:eastAsia="en-US"/>
        </w:rPr>
      </w:pPr>
    </w:p>
    <w:p w14:paraId="0A21767B" w14:textId="77777777" w:rsidR="00454719" w:rsidRPr="00454719" w:rsidRDefault="00454719" w:rsidP="00454719">
      <w:pPr>
        <w:tabs>
          <w:tab w:val="left" w:pos="9072"/>
        </w:tabs>
        <w:ind w:right="-563"/>
        <w:jc w:val="both"/>
        <w:rPr>
          <w:rFonts w:cs="Arial"/>
          <w:sz w:val="22"/>
          <w:lang w:eastAsia="en-US"/>
        </w:rPr>
      </w:pPr>
    </w:p>
    <w:p w14:paraId="40CB0927" w14:textId="77777777" w:rsidR="00454719" w:rsidRPr="00454719" w:rsidRDefault="00454719" w:rsidP="00454719">
      <w:pPr>
        <w:tabs>
          <w:tab w:val="left" w:pos="9072"/>
        </w:tabs>
        <w:ind w:right="-563"/>
        <w:jc w:val="both"/>
        <w:rPr>
          <w:rFonts w:cs="Arial"/>
          <w:sz w:val="22"/>
          <w:lang w:eastAsia="en-US"/>
        </w:rPr>
      </w:pPr>
    </w:p>
    <w:p w14:paraId="482AE70C" w14:textId="77777777" w:rsidR="00454719" w:rsidRPr="00454719" w:rsidRDefault="00454719" w:rsidP="00454719">
      <w:pPr>
        <w:tabs>
          <w:tab w:val="left" w:pos="9072"/>
        </w:tabs>
        <w:ind w:right="-563"/>
        <w:jc w:val="both"/>
        <w:rPr>
          <w:rFonts w:cs="Arial"/>
          <w:sz w:val="22"/>
          <w:lang w:eastAsia="en-US"/>
        </w:rPr>
      </w:pPr>
    </w:p>
    <w:p w14:paraId="30EE94F2" w14:textId="77777777" w:rsidR="00454719" w:rsidRPr="00454719" w:rsidRDefault="00454719" w:rsidP="00454719">
      <w:pPr>
        <w:tabs>
          <w:tab w:val="left" w:pos="9072"/>
        </w:tabs>
        <w:ind w:right="-563"/>
        <w:jc w:val="both"/>
        <w:rPr>
          <w:rFonts w:cs="Arial"/>
          <w:sz w:val="22"/>
          <w:lang w:eastAsia="en-US"/>
        </w:rPr>
      </w:pPr>
    </w:p>
    <w:p w14:paraId="4BD4DCBC" w14:textId="77777777" w:rsidR="00454719" w:rsidRPr="00454719" w:rsidRDefault="00454719" w:rsidP="00454719">
      <w:pPr>
        <w:tabs>
          <w:tab w:val="left" w:pos="9072"/>
        </w:tabs>
        <w:ind w:right="-563"/>
        <w:jc w:val="both"/>
        <w:rPr>
          <w:rFonts w:cs="Arial"/>
          <w:sz w:val="22"/>
          <w:lang w:eastAsia="en-US"/>
        </w:rPr>
      </w:pPr>
    </w:p>
    <w:p w14:paraId="4024E373" w14:textId="77777777" w:rsidR="00454719" w:rsidRPr="00454719" w:rsidRDefault="00454719" w:rsidP="00454719">
      <w:pPr>
        <w:tabs>
          <w:tab w:val="left" w:pos="9072"/>
        </w:tabs>
        <w:ind w:right="-563"/>
        <w:jc w:val="both"/>
        <w:rPr>
          <w:rFonts w:cs="Arial"/>
          <w:sz w:val="22"/>
          <w:lang w:eastAsia="en-US"/>
        </w:rPr>
      </w:pPr>
    </w:p>
    <w:p w14:paraId="623693BC" w14:textId="77777777" w:rsidR="00454719" w:rsidRPr="00454719" w:rsidRDefault="00454719" w:rsidP="00454719">
      <w:pPr>
        <w:tabs>
          <w:tab w:val="left" w:pos="9072"/>
        </w:tabs>
        <w:ind w:right="-563"/>
        <w:jc w:val="both"/>
        <w:rPr>
          <w:rFonts w:cs="Arial"/>
          <w:sz w:val="22"/>
          <w:lang w:eastAsia="en-US"/>
        </w:rPr>
      </w:pPr>
    </w:p>
    <w:p w14:paraId="62CE6EC8" w14:textId="77777777" w:rsidR="00454719" w:rsidRPr="00454719" w:rsidRDefault="00454719" w:rsidP="00454719">
      <w:pPr>
        <w:tabs>
          <w:tab w:val="left" w:pos="9072"/>
        </w:tabs>
        <w:ind w:right="-563"/>
        <w:jc w:val="both"/>
        <w:rPr>
          <w:rFonts w:cs="Arial"/>
          <w:sz w:val="22"/>
          <w:lang w:eastAsia="en-US"/>
        </w:rPr>
      </w:pPr>
    </w:p>
    <w:p w14:paraId="247CE68B" w14:textId="6CACFC92" w:rsidR="00454719" w:rsidRDefault="00454719" w:rsidP="00454719">
      <w:pPr>
        <w:tabs>
          <w:tab w:val="left" w:pos="9072"/>
        </w:tabs>
        <w:ind w:right="-563"/>
        <w:jc w:val="both"/>
        <w:rPr>
          <w:rFonts w:cs="Arial"/>
          <w:sz w:val="22"/>
          <w:lang w:eastAsia="en-US"/>
        </w:rPr>
      </w:pPr>
    </w:p>
    <w:p w14:paraId="436257BD" w14:textId="2ECCBA50" w:rsidR="00EC1954" w:rsidRDefault="00EC1954" w:rsidP="00454719">
      <w:pPr>
        <w:tabs>
          <w:tab w:val="left" w:pos="9072"/>
        </w:tabs>
        <w:ind w:right="-563"/>
        <w:jc w:val="both"/>
        <w:rPr>
          <w:rFonts w:cs="Arial"/>
          <w:sz w:val="22"/>
          <w:lang w:eastAsia="en-US"/>
        </w:rPr>
      </w:pPr>
    </w:p>
    <w:p w14:paraId="7F1461EE" w14:textId="77777777" w:rsidR="00EC1954" w:rsidRPr="00454719" w:rsidRDefault="00EC1954" w:rsidP="00454719">
      <w:pPr>
        <w:tabs>
          <w:tab w:val="left" w:pos="9072"/>
        </w:tabs>
        <w:ind w:right="-563"/>
        <w:jc w:val="both"/>
        <w:rPr>
          <w:rFonts w:cs="Arial"/>
          <w:sz w:val="22"/>
          <w:lang w:eastAsia="en-US"/>
        </w:rPr>
      </w:pPr>
    </w:p>
    <w:p w14:paraId="66A52DF2" w14:textId="77777777" w:rsidR="00454719" w:rsidRPr="00454719" w:rsidRDefault="00454719" w:rsidP="00454719">
      <w:pPr>
        <w:tabs>
          <w:tab w:val="left" w:pos="9072"/>
        </w:tabs>
        <w:ind w:right="-563"/>
        <w:jc w:val="both"/>
        <w:rPr>
          <w:rFonts w:cs="Arial"/>
          <w:sz w:val="22"/>
          <w:lang w:eastAsia="en-US"/>
        </w:rPr>
      </w:pPr>
    </w:p>
    <w:p w14:paraId="69E099BE" w14:textId="77777777" w:rsidR="00454719" w:rsidRPr="00454719" w:rsidRDefault="00454719" w:rsidP="00454719">
      <w:pPr>
        <w:tabs>
          <w:tab w:val="left" w:pos="9072"/>
        </w:tabs>
        <w:ind w:right="-563"/>
        <w:jc w:val="both"/>
        <w:rPr>
          <w:rFonts w:cs="Arial"/>
          <w:sz w:val="22"/>
          <w:lang w:eastAsia="en-US"/>
        </w:rPr>
      </w:pPr>
    </w:p>
    <w:p w14:paraId="6876FF63" w14:textId="77777777" w:rsidR="00454719" w:rsidRPr="00454719" w:rsidRDefault="00454719" w:rsidP="00454719">
      <w:pPr>
        <w:tabs>
          <w:tab w:val="left" w:pos="9072"/>
        </w:tabs>
        <w:ind w:right="-563"/>
        <w:jc w:val="both"/>
        <w:rPr>
          <w:rFonts w:cs="Arial"/>
          <w:sz w:val="22"/>
          <w:lang w:eastAsia="en-US"/>
        </w:rPr>
      </w:pPr>
    </w:p>
    <w:p w14:paraId="38307259" w14:textId="77777777" w:rsidR="00454719" w:rsidRPr="00454719" w:rsidRDefault="00454719" w:rsidP="00454719">
      <w:pPr>
        <w:tabs>
          <w:tab w:val="left" w:pos="9072"/>
        </w:tabs>
        <w:ind w:right="-563"/>
        <w:jc w:val="both"/>
        <w:rPr>
          <w:rFonts w:cs="Arial"/>
          <w:sz w:val="22"/>
          <w:lang w:eastAsia="en-US"/>
        </w:rPr>
      </w:pPr>
    </w:p>
    <w:p w14:paraId="359FA410" w14:textId="77777777" w:rsidR="00454719" w:rsidRPr="00454719" w:rsidRDefault="00454719" w:rsidP="00454719">
      <w:pPr>
        <w:tabs>
          <w:tab w:val="left" w:pos="9072"/>
        </w:tabs>
        <w:ind w:right="-563"/>
        <w:jc w:val="both"/>
        <w:rPr>
          <w:rFonts w:cs="Arial"/>
          <w:sz w:val="22"/>
          <w:lang w:eastAsia="en-US"/>
        </w:rPr>
      </w:pPr>
    </w:p>
    <w:p w14:paraId="4865CA96" w14:textId="77777777" w:rsidR="00454719" w:rsidRPr="00454719" w:rsidRDefault="00454719" w:rsidP="00454719">
      <w:pPr>
        <w:tabs>
          <w:tab w:val="left" w:pos="9072"/>
        </w:tabs>
        <w:ind w:right="-563"/>
        <w:jc w:val="both"/>
        <w:rPr>
          <w:rFonts w:cs="Arial"/>
          <w:sz w:val="22"/>
          <w:lang w:eastAsia="en-US"/>
        </w:rPr>
      </w:pPr>
    </w:p>
    <w:p w14:paraId="0419AEFE" w14:textId="77777777" w:rsidR="00454719" w:rsidRPr="00454719" w:rsidRDefault="00454719" w:rsidP="00454719">
      <w:pPr>
        <w:tabs>
          <w:tab w:val="left" w:pos="9072"/>
        </w:tabs>
        <w:ind w:right="-563"/>
        <w:jc w:val="both"/>
        <w:rPr>
          <w:rFonts w:cs="Arial"/>
          <w:sz w:val="22"/>
          <w:lang w:eastAsia="en-US"/>
        </w:rPr>
      </w:pPr>
    </w:p>
    <w:p w14:paraId="685AF939" w14:textId="77777777" w:rsidR="00454719" w:rsidRPr="00454719" w:rsidRDefault="00454719" w:rsidP="00454719">
      <w:pPr>
        <w:tabs>
          <w:tab w:val="left" w:pos="9072"/>
        </w:tabs>
        <w:ind w:right="-563"/>
        <w:jc w:val="both"/>
        <w:rPr>
          <w:rFonts w:cs="Arial"/>
          <w:sz w:val="22"/>
          <w:lang w:eastAsia="en-US"/>
        </w:rPr>
      </w:pPr>
    </w:p>
    <w:p w14:paraId="0517ED55" w14:textId="77777777" w:rsidR="00454719" w:rsidRPr="00454719" w:rsidRDefault="00454719" w:rsidP="00454719">
      <w:pPr>
        <w:tabs>
          <w:tab w:val="left" w:pos="9072"/>
        </w:tabs>
        <w:ind w:right="-563"/>
        <w:jc w:val="both"/>
        <w:rPr>
          <w:rFonts w:cs="Arial"/>
          <w:sz w:val="22"/>
          <w:lang w:eastAsia="en-US"/>
        </w:rPr>
      </w:pPr>
    </w:p>
    <w:p w14:paraId="01F87F65" w14:textId="77777777" w:rsidR="00454719" w:rsidRPr="00454719" w:rsidRDefault="00454719" w:rsidP="00454719">
      <w:pPr>
        <w:tabs>
          <w:tab w:val="left" w:pos="9072"/>
        </w:tabs>
        <w:ind w:right="-563"/>
        <w:jc w:val="both"/>
        <w:rPr>
          <w:rFonts w:cs="Arial"/>
          <w:sz w:val="22"/>
          <w:lang w:eastAsia="en-US"/>
        </w:rPr>
      </w:pPr>
    </w:p>
    <w:p w14:paraId="353BEAEF" w14:textId="77777777" w:rsidR="00454719" w:rsidRPr="00454719" w:rsidRDefault="00454719" w:rsidP="00454719">
      <w:pPr>
        <w:tabs>
          <w:tab w:val="left" w:pos="9072"/>
        </w:tabs>
        <w:ind w:right="-563"/>
        <w:jc w:val="both"/>
        <w:rPr>
          <w:rFonts w:cs="Arial"/>
          <w:sz w:val="22"/>
          <w:lang w:eastAsia="en-US"/>
        </w:rPr>
      </w:pPr>
    </w:p>
    <w:p w14:paraId="56B090DE" w14:textId="77777777" w:rsidR="00454719" w:rsidRPr="00454719" w:rsidRDefault="00454719" w:rsidP="00454719">
      <w:pPr>
        <w:tabs>
          <w:tab w:val="left" w:pos="9072"/>
        </w:tabs>
        <w:ind w:right="-563"/>
        <w:jc w:val="both"/>
        <w:rPr>
          <w:rFonts w:cs="Arial"/>
          <w:sz w:val="22"/>
          <w:lang w:eastAsia="en-US"/>
        </w:rPr>
      </w:pPr>
    </w:p>
    <w:p w14:paraId="4EB26E69" w14:textId="77777777" w:rsidR="00454719" w:rsidRPr="00454719" w:rsidRDefault="00454719" w:rsidP="00454719">
      <w:pPr>
        <w:tabs>
          <w:tab w:val="left" w:pos="9072"/>
        </w:tabs>
        <w:ind w:right="-563"/>
        <w:jc w:val="both"/>
        <w:rPr>
          <w:rFonts w:cs="Arial"/>
          <w:sz w:val="22"/>
          <w:lang w:eastAsia="en-US"/>
        </w:rPr>
      </w:pPr>
    </w:p>
    <w:tbl>
      <w:tblPr>
        <w:tblW w:w="0" w:type="auto"/>
        <w:jc w:val="center"/>
        <w:tblLayout w:type="fixed"/>
        <w:tblLook w:val="04A0" w:firstRow="1" w:lastRow="0" w:firstColumn="1" w:lastColumn="0" w:noHBand="0" w:noVBand="1"/>
      </w:tblPr>
      <w:tblGrid>
        <w:gridCol w:w="9215"/>
      </w:tblGrid>
      <w:tr w:rsidR="00454719" w:rsidRPr="00454719" w14:paraId="4F3FC7D2" w14:textId="77777777" w:rsidTr="005C1713">
        <w:trPr>
          <w:jc w:val="center"/>
        </w:trPr>
        <w:tc>
          <w:tcPr>
            <w:tcW w:w="9215" w:type="dxa"/>
            <w:shd w:val="clear" w:color="auto" w:fill="auto"/>
          </w:tcPr>
          <w:p w14:paraId="4309CC72" w14:textId="77777777" w:rsidR="00684674" w:rsidRDefault="00684674" w:rsidP="005C1713">
            <w:pPr>
              <w:spacing w:after="120"/>
              <w:jc w:val="center"/>
              <w:rPr>
                <w:rFonts w:cs="Arial"/>
                <w:b/>
                <w:sz w:val="18"/>
                <w:szCs w:val="16"/>
                <w:lang w:eastAsia="en-US"/>
              </w:rPr>
            </w:pPr>
          </w:p>
          <w:p w14:paraId="4D7C2C21" w14:textId="1CE2C770" w:rsidR="00454719" w:rsidRPr="00454719" w:rsidRDefault="00454719" w:rsidP="005C1713">
            <w:pPr>
              <w:spacing w:after="120"/>
              <w:jc w:val="center"/>
              <w:rPr>
                <w:rFonts w:cs="Arial"/>
                <w:b/>
                <w:sz w:val="18"/>
                <w:szCs w:val="16"/>
                <w:lang w:eastAsia="en-US"/>
              </w:rPr>
            </w:pPr>
            <w:r w:rsidRPr="00454719">
              <w:rPr>
                <w:rFonts w:cs="Arial"/>
                <w:b/>
                <w:sz w:val="18"/>
                <w:szCs w:val="16"/>
                <w:lang w:eastAsia="en-US"/>
              </w:rPr>
              <w:sym w:font="Symbol" w:char="F0E3"/>
            </w:r>
            <w:r w:rsidRPr="00454719">
              <w:rPr>
                <w:rFonts w:cs="Arial"/>
                <w:b/>
                <w:sz w:val="18"/>
                <w:szCs w:val="16"/>
                <w:lang w:eastAsia="en-US"/>
              </w:rPr>
              <w:t>Ordre des comptables professionnels agréés du Québec</w:t>
            </w:r>
          </w:p>
          <w:p w14:paraId="2FB5BBD7" w14:textId="49272072" w:rsidR="00454719" w:rsidRPr="00454719" w:rsidRDefault="00A14663" w:rsidP="005C1713">
            <w:pPr>
              <w:jc w:val="center"/>
              <w:rPr>
                <w:rFonts w:cs="Arial"/>
                <w:b/>
                <w:bCs/>
                <w:sz w:val="16"/>
                <w:szCs w:val="16"/>
                <w:lang w:eastAsia="en-US"/>
              </w:rPr>
            </w:pPr>
            <w:r>
              <w:rPr>
                <w:rFonts w:cs="Arial"/>
                <w:b/>
                <w:bCs/>
                <w:sz w:val="18"/>
                <w:szCs w:val="16"/>
                <w:lang w:eastAsia="en-US"/>
              </w:rPr>
              <w:t>Septembre 202</w:t>
            </w:r>
            <w:r w:rsidR="005E2717">
              <w:rPr>
                <w:rFonts w:cs="Arial"/>
                <w:b/>
                <w:bCs/>
                <w:sz w:val="18"/>
                <w:szCs w:val="16"/>
                <w:lang w:eastAsia="en-US"/>
              </w:rPr>
              <w:t>2</w:t>
            </w:r>
          </w:p>
          <w:p w14:paraId="69F3F661" w14:textId="77777777" w:rsidR="00454719" w:rsidRPr="00454719" w:rsidRDefault="00454719" w:rsidP="005C1713">
            <w:pPr>
              <w:tabs>
                <w:tab w:val="right" w:pos="8573"/>
              </w:tabs>
              <w:jc w:val="center"/>
              <w:rPr>
                <w:rFonts w:cs="Arial"/>
                <w:b/>
                <w:bCs/>
                <w:sz w:val="16"/>
                <w:szCs w:val="16"/>
                <w:lang w:eastAsia="en-US"/>
              </w:rPr>
            </w:pPr>
          </w:p>
        </w:tc>
      </w:tr>
      <w:tr w:rsidR="00454719" w:rsidRPr="00454719" w14:paraId="5B1BB33C" w14:textId="77777777" w:rsidTr="005C1713">
        <w:trPr>
          <w:jc w:val="center"/>
        </w:trPr>
        <w:tc>
          <w:tcPr>
            <w:tcW w:w="9215" w:type="dxa"/>
            <w:shd w:val="clear" w:color="auto" w:fill="auto"/>
          </w:tcPr>
          <w:p w14:paraId="6D93D33D" w14:textId="77777777" w:rsidR="00454719" w:rsidRPr="00454719" w:rsidRDefault="00454719" w:rsidP="005C1713">
            <w:pPr>
              <w:tabs>
                <w:tab w:val="left" w:pos="3500"/>
              </w:tabs>
              <w:jc w:val="center"/>
              <w:rPr>
                <w:rFonts w:cs="Arial"/>
                <w:b/>
                <w:i/>
                <w:sz w:val="16"/>
                <w:szCs w:val="16"/>
                <w:lang w:eastAsia="en-US"/>
              </w:rPr>
            </w:pPr>
            <w:r w:rsidRPr="00454719">
              <w:rPr>
                <w:rFonts w:cs="Arial"/>
                <w:i/>
                <w:sz w:val="16"/>
                <w:szCs w:val="16"/>
                <w:lang w:eastAsia="en-US"/>
              </w:rPr>
              <w:t xml:space="preserve">Nous vous invitons à nous communiquer vos commentaires concernant cet outil par courriel </w:t>
            </w:r>
            <w:r w:rsidRPr="00454719">
              <w:rPr>
                <w:rFonts w:cs="Arial"/>
                <w:i/>
                <w:sz w:val="16"/>
                <w:szCs w:val="16"/>
                <w:lang w:eastAsia="en-US"/>
              </w:rPr>
              <w:br/>
              <w:t xml:space="preserve">à l’adresse suivante : </w:t>
            </w:r>
            <w:hyperlink r:id="rId9" w:history="1">
              <w:r w:rsidRPr="005C1713">
                <w:rPr>
                  <w:rFonts w:cs="Arial"/>
                  <w:b/>
                  <w:i/>
                  <w:color w:val="0000FF"/>
                  <w:sz w:val="16"/>
                  <w:szCs w:val="16"/>
                  <w:lang w:eastAsia="en-US"/>
                </w:rPr>
                <w:t>dp@cpaquebec.ca</w:t>
              </w:r>
            </w:hyperlink>
            <w:r w:rsidRPr="00454719">
              <w:rPr>
                <w:rFonts w:cs="Arial"/>
                <w:i/>
                <w:sz w:val="16"/>
                <w:szCs w:val="16"/>
                <w:lang w:eastAsia="en-US"/>
              </w:rPr>
              <w:t>.</w:t>
            </w:r>
          </w:p>
        </w:tc>
      </w:tr>
    </w:tbl>
    <w:p w14:paraId="50B7EA2D" w14:textId="77777777" w:rsidR="00454719" w:rsidRPr="00454719" w:rsidRDefault="00454719" w:rsidP="00454719">
      <w:pPr>
        <w:tabs>
          <w:tab w:val="left" w:pos="9072"/>
        </w:tabs>
        <w:ind w:right="-563"/>
        <w:jc w:val="both"/>
        <w:rPr>
          <w:rFonts w:cs="Arial"/>
          <w:sz w:val="22"/>
          <w:lang w:eastAsia="en-US"/>
        </w:rPr>
        <w:sectPr w:rsidR="00454719" w:rsidRPr="00454719" w:rsidSect="005C1713">
          <w:headerReference w:type="default" r:id="rId10"/>
          <w:type w:val="continuous"/>
          <w:pgSz w:w="12240" w:h="15840" w:code="119"/>
          <w:pgMar w:top="1440" w:right="1440" w:bottom="1440" w:left="1440" w:header="709" w:footer="680" w:gutter="0"/>
          <w:cols w:space="708"/>
          <w:docGrid w:linePitch="360"/>
        </w:sectPr>
      </w:pPr>
    </w:p>
    <w:p w14:paraId="3A9F90F9" w14:textId="69F50ECF" w:rsidR="00454719" w:rsidRPr="00454719" w:rsidRDefault="009D05FD" w:rsidP="00454719">
      <w:pPr>
        <w:jc w:val="center"/>
        <w:rPr>
          <w:rFonts w:cs="Arial"/>
          <w:b/>
          <w:smallCaps/>
          <w:sz w:val="36"/>
          <w:lang w:eastAsia="en-US"/>
        </w:rPr>
      </w:pPr>
      <w:r>
        <w:rPr>
          <w:rFonts w:cs="Arial"/>
          <w:b/>
          <w:smallCaps/>
          <w:noProof/>
          <w:sz w:val="36"/>
          <w:szCs w:val="40"/>
        </w:rPr>
        <w:lastRenderedPageBreak/>
        <w:t>L</w:t>
      </w:r>
      <w:r w:rsidR="00454719" w:rsidRPr="00454719">
        <w:rPr>
          <w:rFonts w:cs="Arial"/>
          <w:b/>
          <w:smallCaps/>
          <w:noProof/>
          <w:sz w:val="36"/>
          <w:szCs w:val="40"/>
        </w:rPr>
        <w:t>iste de contrôle – Roulement de biens à une entreprise</w:t>
      </w:r>
    </w:p>
    <w:p w14:paraId="16896505" w14:textId="77777777" w:rsidR="00454719" w:rsidRPr="00454719" w:rsidRDefault="00454719" w:rsidP="00454719">
      <w:pPr>
        <w:tabs>
          <w:tab w:val="left" w:pos="144"/>
          <w:tab w:val="left" w:pos="576"/>
          <w:tab w:val="left" w:pos="1008"/>
          <w:tab w:val="left" w:pos="1440"/>
          <w:tab w:val="left" w:pos="1872"/>
          <w:tab w:val="left" w:pos="2304"/>
          <w:tab w:val="left" w:pos="2592"/>
        </w:tabs>
        <w:suppressAutoHyphens/>
        <w:jc w:val="center"/>
        <w:rPr>
          <w:rFonts w:cs="Arial"/>
          <w:b/>
          <w:spacing w:val="-3"/>
          <w:sz w:val="22"/>
        </w:rPr>
      </w:pPr>
    </w:p>
    <w:p w14:paraId="2FF52C03" w14:textId="77777777" w:rsidR="00454719" w:rsidRPr="00454719" w:rsidRDefault="00454719" w:rsidP="00454719">
      <w:pPr>
        <w:tabs>
          <w:tab w:val="left" w:pos="144"/>
          <w:tab w:val="left" w:pos="576"/>
          <w:tab w:val="left" w:pos="1008"/>
          <w:tab w:val="left" w:pos="1440"/>
          <w:tab w:val="left" w:pos="1872"/>
          <w:tab w:val="left" w:pos="2304"/>
          <w:tab w:val="left" w:pos="2592"/>
        </w:tabs>
        <w:suppressAutoHyphens/>
        <w:jc w:val="center"/>
        <w:rPr>
          <w:rFonts w:cs="Arial"/>
          <w:b/>
          <w:spacing w:val="-3"/>
          <w:sz w:val="22"/>
        </w:rPr>
      </w:pPr>
    </w:p>
    <w:p w14:paraId="6BA63598" w14:textId="77777777" w:rsidR="00454719" w:rsidRPr="00454719" w:rsidRDefault="00454719" w:rsidP="00454719">
      <w:pPr>
        <w:tabs>
          <w:tab w:val="left" w:pos="144"/>
          <w:tab w:val="left" w:pos="576"/>
          <w:tab w:val="left" w:pos="1008"/>
          <w:tab w:val="left" w:pos="1440"/>
          <w:tab w:val="left" w:pos="1872"/>
          <w:tab w:val="left" w:pos="2304"/>
          <w:tab w:val="left" w:pos="2592"/>
        </w:tabs>
        <w:suppressAutoHyphens/>
        <w:jc w:val="center"/>
        <w:outlineLvl w:val="0"/>
        <w:rPr>
          <w:rFonts w:cs="Arial"/>
          <w:b/>
          <w:caps/>
          <w:spacing w:val="-3"/>
          <w:sz w:val="22"/>
        </w:rPr>
      </w:pPr>
      <w:bookmarkStart w:id="1" w:name="_Toc461180525"/>
      <w:bookmarkStart w:id="2" w:name="_Toc461180549"/>
      <w:r w:rsidRPr="00454719">
        <w:rPr>
          <w:rFonts w:cs="Arial"/>
          <w:b/>
          <w:caps/>
          <w:spacing w:val="-3"/>
          <w:sz w:val="22"/>
        </w:rPr>
        <w:t>Remerciements</w:t>
      </w:r>
      <w:bookmarkEnd w:id="1"/>
      <w:bookmarkEnd w:id="2"/>
    </w:p>
    <w:p w14:paraId="6263057F" w14:textId="77777777" w:rsidR="00454719" w:rsidRPr="00454719" w:rsidRDefault="00454719" w:rsidP="00454719">
      <w:pPr>
        <w:tabs>
          <w:tab w:val="left" w:pos="144"/>
          <w:tab w:val="left" w:pos="576"/>
          <w:tab w:val="left" w:pos="1008"/>
          <w:tab w:val="left" w:pos="1440"/>
          <w:tab w:val="left" w:pos="1872"/>
          <w:tab w:val="left" w:pos="2304"/>
          <w:tab w:val="left" w:pos="2592"/>
        </w:tabs>
        <w:suppressAutoHyphens/>
        <w:jc w:val="center"/>
        <w:rPr>
          <w:rFonts w:cs="Arial"/>
          <w:b/>
          <w:spacing w:val="-3"/>
          <w:sz w:val="22"/>
        </w:rPr>
      </w:pPr>
    </w:p>
    <w:p w14:paraId="0BD6CDF4" w14:textId="58017EC3" w:rsidR="00454719" w:rsidRPr="00454719" w:rsidRDefault="001740BE" w:rsidP="00454719">
      <w:pPr>
        <w:jc w:val="both"/>
        <w:rPr>
          <w:rFonts w:cs="Arial"/>
          <w:sz w:val="20"/>
          <w:szCs w:val="22"/>
        </w:rPr>
      </w:pPr>
      <w:bookmarkStart w:id="3" w:name="_Hlk25586431"/>
      <w:r w:rsidRPr="00D0009D">
        <w:rPr>
          <w:rFonts w:cs="Arial"/>
          <w:sz w:val="22"/>
          <w:szCs w:val="22"/>
        </w:rPr>
        <w:t>L</w:t>
      </w:r>
      <w:r w:rsidR="0095557E">
        <w:rPr>
          <w:rFonts w:cs="Arial"/>
          <w:sz w:val="22"/>
          <w:szCs w:val="22"/>
        </w:rPr>
        <w:t>’</w:t>
      </w:r>
      <w:r w:rsidRPr="00D0009D">
        <w:rPr>
          <w:rFonts w:cs="Arial"/>
          <w:sz w:val="22"/>
          <w:szCs w:val="22"/>
        </w:rPr>
        <w:t xml:space="preserve">Ordre des comptables professionnels agréés du Québec tient à exprimer ses remerciements à </w:t>
      </w:r>
      <w:r w:rsidR="000451C4">
        <w:rPr>
          <w:rFonts w:cs="Arial"/>
          <w:sz w:val="22"/>
          <w:szCs w:val="22"/>
        </w:rPr>
        <w:t>Chantal Amiot</w:t>
      </w:r>
      <w:r w:rsidR="00FA40D2">
        <w:rPr>
          <w:rFonts w:cs="Arial"/>
          <w:sz w:val="22"/>
          <w:szCs w:val="22"/>
        </w:rPr>
        <w:t>,</w:t>
      </w:r>
      <w:r w:rsidR="000451C4">
        <w:rPr>
          <w:rFonts w:cs="Arial"/>
          <w:sz w:val="22"/>
          <w:szCs w:val="22"/>
        </w:rPr>
        <w:t xml:space="preserve"> CPA</w:t>
      </w:r>
      <w:r w:rsidR="00FA40D2">
        <w:rPr>
          <w:rFonts w:cs="Arial"/>
          <w:sz w:val="22"/>
          <w:szCs w:val="22"/>
        </w:rPr>
        <w:t>,</w:t>
      </w:r>
      <w:r w:rsidR="000451C4">
        <w:rPr>
          <w:rFonts w:cs="Arial"/>
          <w:sz w:val="22"/>
          <w:szCs w:val="22"/>
        </w:rPr>
        <w:t xml:space="preserve"> </w:t>
      </w:r>
      <w:r w:rsidR="009D72C0">
        <w:rPr>
          <w:rFonts w:cs="Arial"/>
          <w:sz w:val="22"/>
          <w:szCs w:val="22"/>
        </w:rPr>
        <w:t xml:space="preserve">M. Fisc., </w:t>
      </w:r>
      <w:r w:rsidRPr="00D0009D">
        <w:rPr>
          <w:rFonts w:cs="Arial"/>
          <w:sz w:val="22"/>
          <w:szCs w:val="22"/>
        </w:rPr>
        <w:t xml:space="preserve">qui </w:t>
      </w:r>
      <w:r>
        <w:rPr>
          <w:rFonts w:cs="Arial"/>
          <w:sz w:val="22"/>
          <w:szCs w:val="22"/>
        </w:rPr>
        <w:t xml:space="preserve">a </w:t>
      </w:r>
      <w:r w:rsidRPr="00D0009D">
        <w:rPr>
          <w:rFonts w:cs="Arial"/>
          <w:sz w:val="22"/>
          <w:szCs w:val="22"/>
        </w:rPr>
        <w:t>procédé à la mise à jour de la présente liste de contrôle</w:t>
      </w:r>
      <w:r w:rsidR="00835B29">
        <w:rPr>
          <w:rFonts w:cs="Arial"/>
          <w:sz w:val="22"/>
          <w:szCs w:val="22"/>
        </w:rPr>
        <w:t>.</w:t>
      </w:r>
    </w:p>
    <w:bookmarkEnd w:id="3"/>
    <w:p w14:paraId="4AA7C3EF" w14:textId="77777777" w:rsidR="0056627F" w:rsidRDefault="0056627F" w:rsidP="00454719">
      <w:pPr>
        <w:jc w:val="both"/>
        <w:rPr>
          <w:rFonts w:cs="Arial"/>
          <w:sz w:val="22"/>
          <w:szCs w:val="22"/>
        </w:rPr>
      </w:pPr>
    </w:p>
    <w:p w14:paraId="21148DCE" w14:textId="77777777" w:rsidR="00454719" w:rsidRPr="00454719" w:rsidRDefault="00454719" w:rsidP="00454719">
      <w:pPr>
        <w:tabs>
          <w:tab w:val="left" w:pos="144"/>
          <w:tab w:val="left" w:pos="576"/>
          <w:tab w:val="left" w:pos="1008"/>
          <w:tab w:val="left" w:pos="1440"/>
          <w:tab w:val="left" w:pos="1872"/>
          <w:tab w:val="left" w:pos="2304"/>
          <w:tab w:val="left" w:pos="2592"/>
        </w:tabs>
        <w:suppressAutoHyphens/>
        <w:jc w:val="center"/>
        <w:rPr>
          <w:rFonts w:cs="Arial"/>
          <w:b/>
          <w:spacing w:val="-3"/>
          <w:sz w:val="22"/>
        </w:rPr>
      </w:pPr>
    </w:p>
    <w:p w14:paraId="2C90D37B" w14:textId="77777777" w:rsidR="00454719" w:rsidRPr="00454719" w:rsidRDefault="00454719" w:rsidP="00454719">
      <w:pPr>
        <w:tabs>
          <w:tab w:val="left" w:pos="144"/>
          <w:tab w:val="left" w:pos="576"/>
          <w:tab w:val="left" w:pos="1008"/>
          <w:tab w:val="left" w:pos="1440"/>
          <w:tab w:val="left" w:pos="1872"/>
          <w:tab w:val="left" w:pos="2304"/>
          <w:tab w:val="left" w:pos="2592"/>
        </w:tabs>
        <w:suppressAutoHyphens/>
        <w:jc w:val="center"/>
        <w:rPr>
          <w:rFonts w:cs="Arial"/>
          <w:b/>
          <w:spacing w:val="-3"/>
          <w:sz w:val="22"/>
        </w:rPr>
      </w:pPr>
      <w:r w:rsidRPr="00454719">
        <w:rPr>
          <w:rFonts w:cs="Arial"/>
          <w:b/>
          <w:spacing w:val="-3"/>
          <w:sz w:val="22"/>
        </w:rPr>
        <w:t>DÉNI DE RESPONSABILITÉ</w:t>
      </w:r>
    </w:p>
    <w:p w14:paraId="4B0DDFA3" w14:textId="77777777" w:rsidR="00454719" w:rsidRPr="00454719" w:rsidRDefault="00454719" w:rsidP="00454719">
      <w:pPr>
        <w:tabs>
          <w:tab w:val="left" w:pos="144"/>
          <w:tab w:val="left" w:pos="576"/>
          <w:tab w:val="left" w:pos="1008"/>
          <w:tab w:val="left" w:pos="1440"/>
          <w:tab w:val="left" w:pos="1872"/>
          <w:tab w:val="left" w:pos="2304"/>
          <w:tab w:val="left" w:pos="2592"/>
        </w:tabs>
        <w:suppressAutoHyphens/>
        <w:jc w:val="both"/>
        <w:rPr>
          <w:rFonts w:cs="Arial"/>
          <w:spacing w:val="-3"/>
          <w:sz w:val="22"/>
        </w:rPr>
      </w:pPr>
    </w:p>
    <w:p w14:paraId="6E4954C4" w14:textId="77777777" w:rsidR="00454719" w:rsidRPr="00454719" w:rsidRDefault="00454719" w:rsidP="00454719">
      <w:pPr>
        <w:jc w:val="both"/>
        <w:rPr>
          <w:rFonts w:cs="Arial"/>
          <w:sz w:val="22"/>
          <w:szCs w:val="22"/>
        </w:rPr>
      </w:pPr>
      <w:r w:rsidRPr="00454719">
        <w:rPr>
          <w:rFonts w:cs="Arial"/>
          <w:sz w:val="22"/>
          <w:szCs w:val="22"/>
        </w:rPr>
        <w:t xml:space="preserve">Les produits et services (comprenant notamment le matériel didactique, les publications, les conférences ou formations en salle ou à distance) de l’Ordre des comptables professionnels agréés du Québec (l’Ordre) et ceux offerts en association, ci-après appelés « produits et services », sont fournis selon les conditions décrites dans la présente, aux membres de l’Ordre et au public, afin de les guider ou de les conseiller. Les informations sont principalement fondées sur les lois, normes et règles en vigueur. Elles ne remplaceront jamais le jugement professionnel du comptable professionnel agréé ou d’autres professionnels. </w:t>
      </w:r>
    </w:p>
    <w:p w14:paraId="0E45DA44" w14:textId="77777777" w:rsidR="00454719" w:rsidRPr="00454719" w:rsidRDefault="00454719" w:rsidP="00454719">
      <w:pPr>
        <w:jc w:val="both"/>
        <w:rPr>
          <w:rFonts w:cs="Arial"/>
          <w:sz w:val="22"/>
          <w:szCs w:val="22"/>
        </w:rPr>
      </w:pPr>
    </w:p>
    <w:p w14:paraId="28D32E4F" w14:textId="77777777" w:rsidR="00454719" w:rsidRPr="00454719" w:rsidRDefault="00454719" w:rsidP="00454719">
      <w:pPr>
        <w:jc w:val="both"/>
        <w:rPr>
          <w:rFonts w:cs="Arial"/>
          <w:sz w:val="22"/>
          <w:szCs w:val="22"/>
        </w:rPr>
      </w:pPr>
      <w:r w:rsidRPr="00454719">
        <w:rPr>
          <w:rFonts w:cs="Arial"/>
          <w:sz w:val="22"/>
          <w:szCs w:val="22"/>
        </w:rPr>
        <w:t>Ces informations, de même que les commentaires et les réponses des animateurs, conférenciers, auteurs ou conseillers, ne doivent pas être utilisées comme substitut à des missions confiées à des professionnels spécialisés. Elles sont données en fonction de la situation factuelle décrite et pourraient donc être incomplètes. Il est important de noter que les lois, les normes et les règles sur lesquelles sont fondées ces informations peuvent changer en tout temps et que, dans certains cas, les informations peuvent être sujettes à controverse.</w:t>
      </w:r>
    </w:p>
    <w:p w14:paraId="48A44ABD" w14:textId="77777777" w:rsidR="00454719" w:rsidRPr="00454719" w:rsidRDefault="00454719" w:rsidP="00454719">
      <w:pPr>
        <w:jc w:val="both"/>
        <w:rPr>
          <w:rFonts w:cs="Arial"/>
          <w:sz w:val="22"/>
          <w:szCs w:val="22"/>
        </w:rPr>
      </w:pPr>
    </w:p>
    <w:p w14:paraId="61D41DC8" w14:textId="77777777" w:rsidR="00454719" w:rsidRPr="00454719" w:rsidRDefault="00454719" w:rsidP="00454719">
      <w:pPr>
        <w:jc w:val="both"/>
        <w:rPr>
          <w:rFonts w:cs="Arial"/>
          <w:sz w:val="22"/>
          <w:szCs w:val="22"/>
        </w:rPr>
      </w:pPr>
      <w:r w:rsidRPr="00454719">
        <w:rPr>
          <w:rFonts w:cs="Arial"/>
          <w:sz w:val="22"/>
          <w:szCs w:val="22"/>
        </w:rPr>
        <w:t xml:space="preserve">Ni l’Ordre, ni quelque personne que ce soit ayant participé à la préparation des produits et services ou ayant répondu à des questions de CPA ou du public ne peuvent être tenus responsables relativement à l’utilisation de ces produits ou services et ils ne sont tenus à aucune garantie de quelque nature que ce soit découlant de ces produits ou services. Les informations données ne lient pas, par ailleurs, l’Ordre ou, de façon particulière, le Bureau du syndic de l’Ordre. </w:t>
      </w:r>
    </w:p>
    <w:p w14:paraId="21877BCB" w14:textId="77777777" w:rsidR="00454719" w:rsidRPr="00454719" w:rsidRDefault="00454719" w:rsidP="00454719">
      <w:pPr>
        <w:jc w:val="both"/>
        <w:rPr>
          <w:rFonts w:cs="Arial"/>
          <w:sz w:val="22"/>
          <w:szCs w:val="22"/>
        </w:rPr>
      </w:pPr>
    </w:p>
    <w:p w14:paraId="65A4D111" w14:textId="77777777" w:rsidR="00454719" w:rsidRPr="00454719" w:rsidRDefault="00454719" w:rsidP="00454719">
      <w:pPr>
        <w:jc w:val="both"/>
        <w:rPr>
          <w:rFonts w:cs="Arial"/>
          <w:sz w:val="22"/>
          <w:szCs w:val="22"/>
          <w:lang w:eastAsia="en-US"/>
        </w:rPr>
      </w:pPr>
      <w:r w:rsidRPr="00454719">
        <w:rPr>
          <w:sz w:val="22"/>
          <w:szCs w:val="22"/>
        </w:rPr>
        <w:t>La personne qui sollicite les produits ou les services assume l’entière responsabilité de sa démarche ainsi que tous les risques liés à l’utilisation des informations qui lui sont fournies. Elle consent à exonérer l’Ordre à l’égard de toute demande en dommages-intérêts qui pourrait être intentée par suite de toute décision qu’elle aurait pu prendre en fonction de ces informations. Elle reconnaît également avoir accepté de ne pas faire état de l’assistance reçue par l’intermédiaire des produits ou les services dans les avis exprimés ou les positions prises. </w:t>
      </w:r>
    </w:p>
    <w:p w14:paraId="7EF56D76" w14:textId="77777777" w:rsidR="00454719" w:rsidRPr="00454719" w:rsidRDefault="00454719" w:rsidP="00454719">
      <w:pPr>
        <w:pBdr>
          <w:bottom w:val="single" w:sz="6" w:space="1" w:color="auto"/>
        </w:pBdr>
        <w:tabs>
          <w:tab w:val="left" w:pos="144"/>
          <w:tab w:val="left" w:pos="576"/>
          <w:tab w:val="left" w:pos="1008"/>
          <w:tab w:val="left" w:pos="1440"/>
          <w:tab w:val="left" w:pos="1872"/>
          <w:tab w:val="left" w:pos="2304"/>
          <w:tab w:val="left" w:pos="2592"/>
        </w:tabs>
        <w:suppressAutoHyphens/>
        <w:ind w:left="1710" w:right="1800"/>
        <w:jc w:val="center"/>
        <w:rPr>
          <w:rFonts w:cs="Arial"/>
          <w:b/>
          <w:spacing w:val="-3"/>
          <w:sz w:val="22"/>
        </w:rPr>
      </w:pPr>
    </w:p>
    <w:p w14:paraId="2875447A" w14:textId="77777777" w:rsidR="00454719" w:rsidRPr="00454719" w:rsidRDefault="00454719" w:rsidP="00454719">
      <w:pPr>
        <w:tabs>
          <w:tab w:val="left" w:pos="144"/>
          <w:tab w:val="left" w:pos="576"/>
          <w:tab w:val="left" w:pos="1008"/>
          <w:tab w:val="left" w:pos="1440"/>
          <w:tab w:val="left" w:pos="1872"/>
          <w:tab w:val="left" w:pos="2304"/>
          <w:tab w:val="left" w:pos="2592"/>
        </w:tabs>
        <w:suppressAutoHyphens/>
        <w:ind w:left="1710" w:right="1800"/>
        <w:jc w:val="center"/>
        <w:rPr>
          <w:rFonts w:cs="Arial"/>
          <w:b/>
          <w:spacing w:val="-3"/>
          <w:sz w:val="22"/>
        </w:rPr>
      </w:pPr>
    </w:p>
    <w:p w14:paraId="35D0B27F" w14:textId="77777777" w:rsidR="00454719" w:rsidRPr="00454719" w:rsidRDefault="00454719" w:rsidP="00454719">
      <w:pPr>
        <w:tabs>
          <w:tab w:val="left" w:pos="144"/>
          <w:tab w:val="left" w:pos="576"/>
          <w:tab w:val="left" w:pos="1008"/>
          <w:tab w:val="left" w:pos="1440"/>
          <w:tab w:val="left" w:pos="1872"/>
          <w:tab w:val="left" w:pos="2304"/>
          <w:tab w:val="left" w:pos="2592"/>
        </w:tabs>
        <w:suppressAutoHyphens/>
        <w:jc w:val="both"/>
        <w:rPr>
          <w:rFonts w:cs="Arial"/>
          <w:spacing w:val="-3"/>
          <w:sz w:val="22"/>
        </w:rPr>
      </w:pPr>
      <w:r w:rsidRPr="00454719">
        <w:rPr>
          <w:rFonts w:cs="Arial"/>
          <w:i/>
          <w:spacing w:val="-3"/>
          <w:sz w:val="22"/>
        </w:rPr>
        <w:t>Note : Le masculin est utilisé sans discrimination dans le seul but d’alléger le texte.</w:t>
      </w:r>
    </w:p>
    <w:p w14:paraId="225C7221" w14:textId="77777777" w:rsidR="00454719" w:rsidRPr="00454719" w:rsidRDefault="00454719" w:rsidP="00454719">
      <w:pPr>
        <w:suppressAutoHyphens/>
        <w:ind w:right="-44"/>
        <w:jc w:val="both"/>
        <w:rPr>
          <w:rFonts w:cs="Arial"/>
          <w:spacing w:val="-3"/>
          <w:sz w:val="22"/>
        </w:rPr>
      </w:pPr>
    </w:p>
    <w:p w14:paraId="4F93141C" w14:textId="77777777" w:rsidR="00454719" w:rsidRPr="00454719" w:rsidRDefault="00454719" w:rsidP="00454719">
      <w:pPr>
        <w:jc w:val="both"/>
        <w:rPr>
          <w:sz w:val="22"/>
          <w:lang w:eastAsia="en-US"/>
        </w:rPr>
        <w:sectPr w:rsidR="00454719" w:rsidRPr="00454719" w:rsidSect="000460E3">
          <w:footerReference w:type="default" r:id="rId11"/>
          <w:pgSz w:w="12240" w:h="15840" w:code="119"/>
          <w:pgMar w:top="1440" w:right="1440" w:bottom="1440" w:left="1440" w:header="720" w:footer="363" w:gutter="0"/>
          <w:pgNumType w:fmt="upperRoman"/>
          <w:cols w:space="708"/>
          <w:docGrid w:linePitch="360"/>
        </w:sectPr>
      </w:pPr>
    </w:p>
    <w:p w14:paraId="587751E2" w14:textId="77777777" w:rsidR="00454719" w:rsidRPr="00454719" w:rsidRDefault="00454719" w:rsidP="00454719">
      <w:pPr>
        <w:jc w:val="center"/>
        <w:rPr>
          <w:rFonts w:cs="Arial"/>
          <w:b/>
          <w:smallCaps/>
          <w:sz w:val="36"/>
          <w:lang w:eastAsia="en-US"/>
        </w:rPr>
      </w:pPr>
      <w:r w:rsidRPr="00454719">
        <w:rPr>
          <w:rFonts w:cs="Arial"/>
          <w:b/>
          <w:smallCaps/>
          <w:noProof/>
          <w:sz w:val="36"/>
          <w:szCs w:val="40"/>
        </w:rPr>
        <w:lastRenderedPageBreak/>
        <w:t>Liste de contrôle – Roulement de biens à une entreprise</w:t>
      </w:r>
    </w:p>
    <w:p w14:paraId="748D3187" w14:textId="77777777" w:rsidR="00454719" w:rsidRPr="00454719" w:rsidRDefault="00454719" w:rsidP="00454719">
      <w:pPr>
        <w:tabs>
          <w:tab w:val="left" w:pos="144"/>
          <w:tab w:val="left" w:pos="576"/>
          <w:tab w:val="left" w:pos="1008"/>
          <w:tab w:val="left" w:pos="1440"/>
          <w:tab w:val="left" w:pos="1872"/>
          <w:tab w:val="left" w:pos="2304"/>
          <w:tab w:val="left" w:pos="2592"/>
        </w:tabs>
        <w:suppressAutoHyphens/>
        <w:jc w:val="center"/>
        <w:rPr>
          <w:rFonts w:cs="Arial"/>
          <w:b/>
          <w:spacing w:val="-3"/>
          <w:sz w:val="22"/>
        </w:rPr>
      </w:pPr>
    </w:p>
    <w:p w14:paraId="67B1ED7E" w14:textId="77777777" w:rsidR="00454719" w:rsidRPr="00454719" w:rsidRDefault="00454719" w:rsidP="00454719">
      <w:pPr>
        <w:tabs>
          <w:tab w:val="left" w:pos="144"/>
          <w:tab w:val="left" w:pos="576"/>
          <w:tab w:val="left" w:pos="1008"/>
          <w:tab w:val="left" w:pos="1440"/>
          <w:tab w:val="left" w:pos="1872"/>
          <w:tab w:val="left" w:pos="2304"/>
          <w:tab w:val="left" w:pos="2592"/>
        </w:tabs>
        <w:suppressAutoHyphens/>
        <w:jc w:val="center"/>
        <w:rPr>
          <w:rFonts w:cs="Arial"/>
          <w:b/>
          <w:spacing w:val="-3"/>
          <w:sz w:val="22"/>
        </w:rPr>
      </w:pPr>
    </w:p>
    <w:p w14:paraId="2FF0F8E1" w14:textId="77777777" w:rsidR="00454719" w:rsidRPr="00454719" w:rsidRDefault="00454719" w:rsidP="00454719">
      <w:pPr>
        <w:tabs>
          <w:tab w:val="left" w:pos="144"/>
          <w:tab w:val="left" w:pos="576"/>
          <w:tab w:val="left" w:pos="1008"/>
          <w:tab w:val="left" w:pos="1440"/>
          <w:tab w:val="left" w:pos="1872"/>
          <w:tab w:val="left" w:pos="2304"/>
          <w:tab w:val="left" w:pos="2592"/>
        </w:tabs>
        <w:suppressAutoHyphens/>
        <w:jc w:val="center"/>
        <w:outlineLvl w:val="0"/>
        <w:rPr>
          <w:rFonts w:cs="Arial"/>
          <w:b/>
          <w:caps/>
          <w:spacing w:val="-3"/>
          <w:sz w:val="22"/>
        </w:rPr>
      </w:pPr>
      <w:bookmarkStart w:id="4" w:name="_Toc461180526"/>
      <w:bookmarkStart w:id="5" w:name="_Toc461180550"/>
      <w:r w:rsidRPr="00454719">
        <w:rPr>
          <w:rFonts w:cs="Arial"/>
          <w:b/>
          <w:caps/>
          <w:spacing w:val="-3"/>
          <w:sz w:val="22"/>
        </w:rPr>
        <w:t>Description de L’OUTIL</w:t>
      </w:r>
      <w:bookmarkEnd w:id="4"/>
      <w:bookmarkEnd w:id="5"/>
    </w:p>
    <w:p w14:paraId="4A889E1D" w14:textId="77777777" w:rsidR="00454719" w:rsidRPr="00454719" w:rsidRDefault="00454719" w:rsidP="00454719">
      <w:pPr>
        <w:jc w:val="both"/>
        <w:rPr>
          <w:sz w:val="22"/>
          <w:szCs w:val="22"/>
          <w:lang w:eastAsia="en-US"/>
        </w:rPr>
      </w:pPr>
    </w:p>
    <w:p w14:paraId="76269839" w14:textId="77777777" w:rsidR="00454719" w:rsidRPr="00454719" w:rsidRDefault="00454719" w:rsidP="00454719">
      <w:pPr>
        <w:jc w:val="both"/>
        <w:rPr>
          <w:rFonts w:cs="Arial"/>
          <w:sz w:val="22"/>
          <w:szCs w:val="22"/>
        </w:rPr>
      </w:pPr>
    </w:p>
    <w:p w14:paraId="41AAACCE" w14:textId="77777777" w:rsidR="00454719" w:rsidRPr="00454719" w:rsidRDefault="00454719" w:rsidP="00454719">
      <w:pPr>
        <w:jc w:val="both"/>
        <w:rPr>
          <w:rFonts w:cs="Arial"/>
          <w:b/>
          <w:sz w:val="22"/>
          <w:szCs w:val="22"/>
        </w:rPr>
      </w:pPr>
      <w:r w:rsidRPr="00454719">
        <w:rPr>
          <w:rFonts w:cs="Arial"/>
          <w:b/>
          <w:sz w:val="22"/>
          <w:szCs w:val="22"/>
        </w:rPr>
        <w:t>Résumé</w:t>
      </w:r>
    </w:p>
    <w:p w14:paraId="4BB43C78" w14:textId="49EC43DE" w:rsidR="00454719" w:rsidRPr="00454719" w:rsidRDefault="00454719" w:rsidP="00454719">
      <w:pPr>
        <w:jc w:val="both"/>
        <w:rPr>
          <w:sz w:val="22"/>
          <w:szCs w:val="24"/>
        </w:rPr>
      </w:pPr>
      <w:r w:rsidRPr="00454719">
        <w:rPr>
          <w:sz w:val="22"/>
          <w:szCs w:val="24"/>
        </w:rPr>
        <w:t xml:space="preserve">Cet outil vous permettra de mieux planifier les opérations couvrant les </w:t>
      </w:r>
      <w:r w:rsidRPr="00454719">
        <w:rPr>
          <w:rFonts w:cs="Arial"/>
          <w:sz w:val="22"/>
          <w:szCs w:val="22"/>
        </w:rPr>
        <w:t>roulements</w:t>
      </w:r>
      <w:r w:rsidRPr="00454719">
        <w:rPr>
          <w:sz w:val="22"/>
          <w:szCs w:val="24"/>
        </w:rPr>
        <w:t xml:space="preserve"> et </w:t>
      </w:r>
      <w:proofErr w:type="gramStart"/>
      <w:r w:rsidRPr="00454719">
        <w:rPr>
          <w:sz w:val="22"/>
          <w:szCs w:val="24"/>
        </w:rPr>
        <w:t>ayant</w:t>
      </w:r>
      <w:proofErr w:type="gramEnd"/>
      <w:r w:rsidRPr="00454719">
        <w:rPr>
          <w:sz w:val="22"/>
          <w:szCs w:val="24"/>
        </w:rPr>
        <w:t xml:space="preserve"> des répercussions fiscales importantes pour les actionnaires/sociétaires et l</w:t>
      </w:r>
      <w:r w:rsidR="0095557E">
        <w:rPr>
          <w:sz w:val="22"/>
          <w:szCs w:val="24"/>
        </w:rPr>
        <w:t>’</w:t>
      </w:r>
      <w:r w:rsidRPr="00454719">
        <w:rPr>
          <w:sz w:val="22"/>
          <w:szCs w:val="24"/>
        </w:rPr>
        <w:t>entreprise.</w:t>
      </w:r>
    </w:p>
    <w:p w14:paraId="5C809511" w14:textId="77777777" w:rsidR="00454719" w:rsidRPr="00454719" w:rsidRDefault="00454719" w:rsidP="00454719">
      <w:pPr>
        <w:jc w:val="both"/>
        <w:rPr>
          <w:sz w:val="22"/>
          <w:szCs w:val="24"/>
        </w:rPr>
      </w:pPr>
    </w:p>
    <w:p w14:paraId="4BE3A656" w14:textId="77777777" w:rsidR="00454719" w:rsidRPr="00454719" w:rsidRDefault="00454719" w:rsidP="00454719">
      <w:pPr>
        <w:jc w:val="both"/>
        <w:rPr>
          <w:b/>
          <w:sz w:val="22"/>
          <w:szCs w:val="24"/>
        </w:rPr>
      </w:pPr>
      <w:r w:rsidRPr="00454719">
        <w:rPr>
          <w:b/>
          <w:sz w:val="22"/>
          <w:szCs w:val="24"/>
        </w:rPr>
        <w:t>Contenu</w:t>
      </w:r>
    </w:p>
    <w:p w14:paraId="77710010" w14:textId="77777777" w:rsidR="00454719" w:rsidRPr="00454719" w:rsidRDefault="00454719" w:rsidP="00454719">
      <w:pPr>
        <w:numPr>
          <w:ilvl w:val="0"/>
          <w:numId w:val="29"/>
        </w:numPr>
        <w:jc w:val="both"/>
        <w:rPr>
          <w:sz w:val="22"/>
          <w:szCs w:val="24"/>
        </w:rPr>
      </w:pPr>
      <w:r w:rsidRPr="00454719">
        <w:rPr>
          <w:sz w:val="22"/>
          <w:szCs w:val="24"/>
        </w:rPr>
        <w:t>Questions préalables</w:t>
      </w:r>
    </w:p>
    <w:p w14:paraId="451C6950" w14:textId="77777777" w:rsidR="00454719" w:rsidRPr="00454719" w:rsidRDefault="00454719" w:rsidP="00454719">
      <w:pPr>
        <w:numPr>
          <w:ilvl w:val="0"/>
          <w:numId w:val="29"/>
        </w:numPr>
        <w:jc w:val="both"/>
        <w:rPr>
          <w:sz w:val="22"/>
          <w:szCs w:val="24"/>
        </w:rPr>
      </w:pPr>
      <w:r w:rsidRPr="00454719">
        <w:rPr>
          <w:sz w:val="22"/>
          <w:szCs w:val="24"/>
        </w:rPr>
        <w:t>Limite des choix</w:t>
      </w:r>
    </w:p>
    <w:p w14:paraId="6E00F382" w14:textId="77777777" w:rsidR="00454719" w:rsidRPr="00454719" w:rsidRDefault="00454719" w:rsidP="00454719">
      <w:pPr>
        <w:numPr>
          <w:ilvl w:val="0"/>
          <w:numId w:val="29"/>
        </w:numPr>
        <w:jc w:val="both"/>
        <w:rPr>
          <w:sz w:val="22"/>
          <w:szCs w:val="24"/>
        </w:rPr>
      </w:pPr>
      <w:r w:rsidRPr="00454719">
        <w:rPr>
          <w:sz w:val="22"/>
          <w:szCs w:val="24"/>
        </w:rPr>
        <w:t>Capital versé (CV), prix de base rajusté (PBR) et coût indiqué</w:t>
      </w:r>
    </w:p>
    <w:p w14:paraId="358AAD13" w14:textId="77777777" w:rsidR="00454719" w:rsidRPr="00454719" w:rsidRDefault="00454719" w:rsidP="00454719">
      <w:pPr>
        <w:numPr>
          <w:ilvl w:val="0"/>
          <w:numId w:val="29"/>
        </w:numPr>
        <w:jc w:val="both"/>
        <w:rPr>
          <w:sz w:val="22"/>
          <w:szCs w:val="24"/>
        </w:rPr>
      </w:pPr>
      <w:r w:rsidRPr="00454719">
        <w:rPr>
          <w:sz w:val="22"/>
          <w:szCs w:val="24"/>
        </w:rPr>
        <w:t>Contrepartie reçue</w:t>
      </w:r>
    </w:p>
    <w:p w14:paraId="241E8CA4" w14:textId="77777777" w:rsidR="00454719" w:rsidRPr="00454719" w:rsidRDefault="00454719" w:rsidP="00454719">
      <w:pPr>
        <w:numPr>
          <w:ilvl w:val="0"/>
          <w:numId w:val="29"/>
        </w:numPr>
        <w:jc w:val="both"/>
        <w:rPr>
          <w:sz w:val="22"/>
          <w:szCs w:val="24"/>
        </w:rPr>
      </w:pPr>
      <w:r w:rsidRPr="00454719">
        <w:rPr>
          <w:sz w:val="22"/>
          <w:szCs w:val="24"/>
        </w:rPr>
        <w:t>Autres éléments à considérer</w:t>
      </w:r>
    </w:p>
    <w:p w14:paraId="43064825" w14:textId="77777777" w:rsidR="00454719" w:rsidRPr="00454719" w:rsidRDefault="00454719" w:rsidP="00454719">
      <w:pPr>
        <w:jc w:val="both"/>
        <w:rPr>
          <w:sz w:val="22"/>
          <w:szCs w:val="24"/>
        </w:rPr>
      </w:pPr>
    </w:p>
    <w:p w14:paraId="630A81BD" w14:textId="481BCD51" w:rsidR="00454719" w:rsidRPr="00454719" w:rsidRDefault="00454719" w:rsidP="00454719">
      <w:pPr>
        <w:jc w:val="both"/>
        <w:rPr>
          <w:rFonts w:cs="Arial"/>
          <w:b/>
          <w:sz w:val="22"/>
          <w:szCs w:val="22"/>
        </w:rPr>
      </w:pPr>
      <w:r w:rsidRPr="00454719">
        <w:rPr>
          <w:rFonts w:cs="Arial"/>
          <w:b/>
          <w:sz w:val="22"/>
          <w:szCs w:val="22"/>
        </w:rPr>
        <w:t xml:space="preserve">Mise à jour – </w:t>
      </w:r>
      <w:r w:rsidR="008763B6">
        <w:rPr>
          <w:rFonts w:cs="Arial"/>
          <w:b/>
          <w:sz w:val="22"/>
          <w:szCs w:val="22"/>
        </w:rPr>
        <w:t>S</w:t>
      </w:r>
      <w:r w:rsidR="00C83FF8">
        <w:rPr>
          <w:rFonts w:cs="Arial"/>
          <w:b/>
          <w:sz w:val="22"/>
          <w:szCs w:val="22"/>
        </w:rPr>
        <w:t xml:space="preserve">eptembre </w:t>
      </w:r>
      <w:r w:rsidR="001740BE">
        <w:rPr>
          <w:rFonts w:cs="Arial"/>
          <w:b/>
          <w:sz w:val="22"/>
          <w:szCs w:val="22"/>
        </w:rPr>
        <w:t>20</w:t>
      </w:r>
      <w:r w:rsidR="00C83FF8">
        <w:rPr>
          <w:rFonts w:cs="Arial"/>
          <w:b/>
          <w:sz w:val="22"/>
          <w:szCs w:val="22"/>
        </w:rPr>
        <w:t>2</w:t>
      </w:r>
      <w:r w:rsidR="005E2717">
        <w:rPr>
          <w:rFonts w:cs="Arial"/>
          <w:b/>
          <w:sz w:val="22"/>
          <w:szCs w:val="22"/>
        </w:rPr>
        <w:t>2</w:t>
      </w:r>
    </w:p>
    <w:p w14:paraId="252028BF" w14:textId="7026EBA6" w:rsidR="00454719" w:rsidRPr="009729F0" w:rsidRDefault="00454719" w:rsidP="00454719">
      <w:pPr>
        <w:autoSpaceDE w:val="0"/>
        <w:autoSpaceDN w:val="0"/>
        <w:jc w:val="both"/>
        <w:rPr>
          <w:rFonts w:cs="Arial"/>
          <w:sz w:val="22"/>
          <w:szCs w:val="22"/>
          <w:lang w:eastAsia="en-US"/>
        </w:rPr>
      </w:pPr>
      <w:r w:rsidRPr="009729F0">
        <w:rPr>
          <w:rFonts w:cs="Arial"/>
          <w:sz w:val="22"/>
          <w:szCs w:val="22"/>
        </w:rPr>
        <w:t>Cette nouvelle mise à jour intègre l</w:t>
      </w:r>
      <w:r w:rsidRPr="009729F0">
        <w:rPr>
          <w:sz w:val="22"/>
          <w:szCs w:val="24"/>
        </w:rPr>
        <w:t xml:space="preserve">es </w:t>
      </w:r>
      <w:r w:rsidRPr="009729F0">
        <w:rPr>
          <w:sz w:val="22"/>
        </w:rPr>
        <w:t xml:space="preserve">modifications de la </w:t>
      </w:r>
      <w:r w:rsidRPr="00FA40D2">
        <w:rPr>
          <w:i/>
          <w:iCs/>
          <w:sz w:val="22"/>
        </w:rPr>
        <w:t xml:space="preserve">Loi de l’impôt sur le revenu du Canada </w:t>
      </w:r>
      <w:r w:rsidRPr="009729F0">
        <w:rPr>
          <w:sz w:val="22"/>
        </w:rPr>
        <w:t xml:space="preserve">(LIR) et de la </w:t>
      </w:r>
      <w:r w:rsidRPr="00FA40D2">
        <w:rPr>
          <w:i/>
          <w:iCs/>
          <w:sz w:val="22"/>
        </w:rPr>
        <w:t>Loi sur les impôts du Québec</w:t>
      </w:r>
      <w:r w:rsidRPr="009729F0">
        <w:rPr>
          <w:sz w:val="22"/>
        </w:rPr>
        <w:t xml:space="preserve"> (LI) jusqu’au </w:t>
      </w:r>
      <w:r w:rsidR="00C83FF8">
        <w:rPr>
          <w:sz w:val="22"/>
        </w:rPr>
        <w:t>30</w:t>
      </w:r>
      <w:r w:rsidR="0095557E">
        <w:rPr>
          <w:sz w:val="22"/>
        </w:rPr>
        <w:t> </w:t>
      </w:r>
      <w:r w:rsidR="00C83FF8">
        <w:rPr>
          <w:sz w:val="22"/>
        </w:rPr>
        <w:t>septembre</w:t>
      </w:r>
      <w:r w:rsidR="00B32BD2" w:rsidRPr="009729F0">
        <w:rPr>
          <w:sz w:val="22"/>
        </w:rPr>
        <w:t xml:space="preserve"> 20</w:t>
      </w:r>
      <w:r w:rsidR="00C83FF8">
        <w:rPr>
          <w:sz w:val="22"/>
        </w:rPr>
        <w:t>2</w:t>
      </w:r>
      <w:r w:rsidR="005E2717">
        <w:rPr>
          <w:sz w:val="22"/>
        </w:rPr>
        <w:t>2</w:t>
      </w:r>
      <w:r w:rsidRPr="009729F0">
        <w:rPr>
          <w:sz w:val="22"/>
        </w:rPr>
        <w:t xml:space="preserve">. </w:t>
      </w:r>
      <w:r w:rsidRPr="009729F0">
        <w:rPr>
          <w:rFonts w:cs="Arial"/>
          <w:sz w:val="22"/>
          <w:szCs w:val="22"/>
          <w:lang w:eastAsia="en-US"/>
        </w:rPr>
        <w:t>Après cette date, il conviendrait donc de s</w:t>
      </w:r>
      <w:r w:rsidR="0095557E">
        <w:rPr>
          <w:rFonts w:cs="Arial"/>
          <w:sz w:val="22"/>
          <w:szCs w:val="22"/>
          <w:lang w:eastAsia="en-US"/>
        </w:rPr>
        <w:t>’</w:t>
      </w:r>
      <w:r w:rsidRPr="009729F0">
        <w:rPr>
          <w:rFonts w:cs="Arial"/>
          <w:sz w:val="22"/>
          <w:szCs w:val="22"/>
          <w:lang w:eastAsia="en-US"/>
        </w:rPr>
        <w:t>assurer que des modifications importantes n</w:t>
      </w:r>
      <w:r w:rsidR="0095557E">
        <w:rPr>
          <w:rFonts w:cs="Arial"/>
          <w:sz w:val="22"/>
          <w:szCs w:val="22"/>
          <w:lang w:eastAsia="en-US"/>
        </w:rPr>
        <w:t>’</w:t>
      </w:r>
      <w:r w:rsidRPr="009729F0">
        <w:rPr>
          <w:rFonts w:cs="Arial"/>
          <w:sz w:val="22"/>
          <w:szCs w:val="22"/>
          <w:lang w:eastAsia="en-US"/>
        </w:rPr>
        <w:t>ont pas été apportées aux règles d</w:t>
      </w:r>
      <w:r w:rsidR="0095557E">
        <w:rPr>
          <w:rFonts w:cs="Arial"/>
          <w:sz w:val="22"/>
          <w:szCs w:val="22"/>
          <w:lang w:eastAsia="en-US"/>
        </w:rPr>
        <w:t>’</w:t>
      </w:r>
      <w:r w:rsidRPr="009729F0">
        <w:rPr>
          <w:rFonts w:cs="Arial"/>
          <w:sz w:val="22"/>
          <w:szCs w:val="22"/>
          <w:lang w:eastAsia="en-US"/>
        </w:rPr>
        <w:t>application fiscales présentées dans cet ouvrage.</w:t>
      </w:r>
    </w:p>
    <w:p w14:paraId="5DC7EF3E" w14:textId="77777777" w:rsidR="00454719" w:rsidRPr="00454719" w:rsidRDefault="00454719" w:rsidP="00454719">
      <w:pPr>
        <w:jc w:val="both"/>
        <w:rPr>
          <w:sz w:val="22"/>
        </w:rPr>
      </w:pPr>
    </w:p>
    <w:p w14:paraId="5A31FEC7" w14:textId="77777777" w:rsidR="00454719" w:rsidRPr="00454719" w:rsidRDefault="00454719" w:rsidP="00454719">
      <w:pPr>
        <w:jc w:val="both"/>
        <w:rPr>
          <w:rFonts w:cs="Arial"/>
          <w:b/>
          <w:sz w:val="22"/>
          <w:szCs w:val="22"/>
        </w:rPr>
      </w:pPr>
      <w:r w:rsidRPr="00454719">
        <w:rPr>
          <w:rFonts w:cs="Arial"/>
          <w:b/>
          <w:sz w:val="22"/>
          <w:szCs w:val="22"/>
        </w:rPr>
        <w:t>Clientèle cible</w:t>
      </w:r>
    </w:p>
    <w:p w14:paraId="4B080FA7" w14:textId="77777777" w:rsidR="00454719" w:rsidRPr="00454719" w:rsidRDefault="00454719" w:rsidP="00454719">
      <w:pPr>
        <w:jc w:val="both"/>
        <w:rPr>
          <w:rFonts w:cs="Arial"/>
          <w:sz w:val="22"/>
          <w:szCs w:val="22"/>
        </w:rPr>
      </w:pPr>
      <w:r w:rsidRPr="00454719">
        <w:rPr>
          <w:rFonts w:cs="Arial"/>
          <w:sz w:val="22"/>
          <w:szCs w:val="22"/>
        </w:rPr>
        <w:t>Les CPA en cabinet, les CPA en entreprise et les CPA du secteur public.</w:t>
      </w:r>
    </w:p>
    <w:p w14:paraId="0F4D6113" w14:textId="77777777" w:rsidR="00454719" w:rsidRPr="00454719" w:rsidRDefault="00454719" w:rsidP="00454719">
      <w:pPr>
        <w:jc w:val="both"/>
        <w:rPr>
          <w:rFonts w:cs="Arial"/>
          <w:sz w:val="22"/>
          <w:szCs w:val="22"/>
        </w:rPr>
      </w:pPr>
    </w:p>
    <w:p w14:paraId="2691BC7E" w14:textId="77777777" w:rsidR="00454719" w:rsidRPr="00454719" w:rsidRDefault="00454719" w:rsidP="00454719">
      <w:pPr>
        <w:jc w:val="both"/>
        <w:rPr>
          <w:rFonts w:cs="Arial"/>
          <w:sz w:val="22"/>
          <w:szCs w:val="22"/>
        </w:rPr>
      </w:pPr>
    </w:p>
    <w:p w14:paraId="3FF8F628" w14:textId="77777777" w:rsidR="00454719" w:rsidRPr="00454719" w:rsidRDefault="00454719" w:rsidP="00454719">
      <w:pPr>
        <w:jc w:val="both"/>
        <w:rPr>
          <w:sz w:val="22"/>
          <w:lang w:eastAsia="en-US"/>
        </w:rPr>
        <w:sectPr w:rsidR="00454719" w:rsidRPr="00454719" w:rsidSect="005C1713">
          <w:headerReference w:type="default" r:id="rId12"/>
          <w:pgSz w:w="12240" w:h="15840" w:code="119"/>
          <w:pgMar w:top="1440" w:right="1440" w:bottom="1440" w:left="1440" w:header="720" w:footer="363" w:gutter="0"/>
          <w:pgNumType w:fmt="upperRoman"/>
          <w:cols w:space="708"/>
          <w:docGrid w:linePitch="360"/>
        </w:sectPr>
      </w:pPr>
    </w:p>
    <w:p w14:paraId="4D0821D7" w14:textId="77777777" w:rsidR="001A637D" w:rsidRPr="00BD011C" w:rsidRDefault="001A637D" w:rsidP="00454719">
      <w:pPr>
        <w:spacing w:before="120"/>
        <w:rPr>
          <w:rFonts w:cs="Arial"/>
          <w:b/>
        </w:rPr>
      </w:pPr>
      <w:bookmarkStart w:id="6" w:name="_Toc368571832"/>
      <w:bookmarkEnd w:id="0"/>
      <w:r w:rsidRPr="00BD011C">
        <w:rPr>
          <w:rFonts w:cs="Arial"/>
          <w:b/>
        </w:rPr>
        <w:lastRenderedPageBreak/>
        <w:t>RÉFÉRENCES À QUELQUES DOCUMENTS</w:t>
      </w:r>
      <w:bookmarkEnd w:id="6"/>
    </w:p>
    <w:p w14:paraId="4C070F9E" w14:textId="77777777" w:rsidR="001A637D" w:rsidRPr="00BD011C" w:rsidRDefault="001A637D" w:rsidP="004A359B">
      <w:pPr>
        <w:rPr>
          <w:rFonts w:cs="Arial"/>
        </w:rPr>
      </w:pPr>
    </w:p>
    <w:p w14:paraId="45EF0A6C" w14:textId="77777777" w:rsidR="00FD6C9A" w:rsidRPr="009D05FD" w:rsidRDefault="00714515" w:rsidP="00AC66FC">
      <w:pPr>
        <w:pStyle w:val="a"/>
        <w:spacing w:after="120"/>
        <w:ind w:left="360" w:hanging="360"/>
        <w:jc w:val="both"/>
        <w:rPr>
          <w:rFonts w:ascii="Arial" w:hAnsi="Arial" w:cs="Arial"/>
          <w:b/>
          <w:sz w:val="22"/>
          <w:szCs w:val="22"/>
        </w:rPr>
      </w:pPr>
      <w:r w:rsidRPr="009D05FD">
        <w:rPr>
          <w:rFonts w:ascii="Arial" w:hAnsi="Arial" w:cs="Arial"/>
          <w:b/>
          <w:sz w:val="22"/>
          <w:szCs w:val="22"/>
        </w:rPr>
        <w:t>Fédéral :</w:t>
      </w:r>
    </w:p>
    <w:p w14:paraId="7E6FABE5" w14:textId="77777777" w:rsidR="00714515" w:rsidRPr="009D05FD" w:rsidRDefault="00714515" w:rsidP="00714515">
      <w:pPr>
        <w:jc w:val="both"/>
        <w:rPr>
          <w:sz w:val="22"/>
          <w:szCs w:val="22"/>
          <w:u w:val="single"/>
          <w:lang w:val="fr-FR"/>
        </w:rPr>
      </w:pPr>
      <w:r w:rsidRPr="009D05FD">
        <w:rPr>
          <w:sz w:val="22"/>
          <w:szCs w:val="22"/>
          <w:u w:val="single"/>
          <w:lang w:val="fr-FR"/>
        </w:rPr>
        <w:t>Bulletins d’interprétation (archivés)</w:t>
      </w:r>
    </w:p>
    <w:p w14:paraId="1D226827" w14:textId="77777777" w:rsidR="00714515" w:rsidRPr="009D05FD" w:rsidRDefault="00714515" w:rsidP="00714515">
      <w:pPr>
        <w:jc w:val="both"/>
        <w:rPr>
          <w:sz w:val="22"/>
          <w:szCs w:val="22"/>
          <w:lang w:val="fr-FR"/>
        </w:rPr>
      </w:pPr>
    </w:p>
    <w:p w14:paraId="4C0272AA" w14:textId="77777777" w:rsidR="00714515" w:rsidRPr="009D05FD" w:rsidRDefault="00714515" w:rsidP="00714515">
      <w:pPr>
        <w:tabs>
          <w:tab w:val="left" w:pos="1134"/>
        </w:tabs>
        <w:jc w:val="both"/>
        <w:rPr>
          <w:sz w:val="22"/>
          <w:szCs w:val="22"/>
          <w:lang w:val="fr-FR"/>
        </w:rPr>
      </w:pPr>
      <w:r w:rsidRPr="009D05FD">
        <w:rPr>
          <w:sz w:val="22"/>
          <w:szCs w:val="22"/>
          <w:lang w:val="fr-FR"/>
        </w:rPr>
        <w:t xml:space="preserve">IT-188R </w:t>
      </w:r>
      <w:r w:rsidRPr="009D05FD">
        <w:rPr>
          <w:sz w:val="22"/>
          <w:szCs w:val="22"/>
          <w:lang w:val="fr-FR"/>
        </w:rPr>
        <w:tab/>
        <w:t>Vente de créances</w:t>
      </w:r>
    </w:p>
    <w:p w14:paraId="14F5BD13" w14:textId="2F268687" w:rsidR="00714515" w:rsidRPr="009D05FD" w:rsidRDefault="00714515" w:rsidP="00714515">
      <w:pPr>
        <w:tabs>
          <w:tab w:val="left" w:pos="1134"/>
        </w:tabs>
        <w:jc w:val="both"/>
        <w:rPr>
          <w:sz w:val="22"/>
          <w:szCs w:val="22"/>
          <w:lang w:val="fr-FR"/>
        </w:rPr>
      </w:pPr>
      <w:r w:rsidRPr="009D05FD">
        <w:rPr>
          <w:sz w:val="22"/>
          <w:szCs w:val="22"/>
          <w:lang w:val="fr-FR"/>
        </w:rPr>
        <w:t xml:space="preserve">IT-291R3 </w:t>
      </w:r>
      <w:r w:rsidRPr="009D05FD">
        <w:rPr>
          <w:sz w:val="22"/>
          <w:szCs w:val="22"/>
          <w:lang w:val="fr-FR"/>
        </w:rPr>
        <w:tab/>
        <w:t>Transfert d</w:t>
      </w:r>
      <w:r w:rsidR="0095557E">
        <w:rPr>
          <w:sz w:val="22"/>
          <w:szCs w:val="22"/>
          <w:lang w:val="fr-FR"/>
        </w:rPr>
        <w:t>’</w:t>
      </w:r>
      <w:r w:rsidRPr="009D05FD">
        <w:rPr>
          <w:sz w:val="22"/>
          <w:szCs w:val="22"/>
          <w:lang w:val="fr-FR"/>
        </w:rPr>
        <w:t>un bien d</w:t>
      </w:r>
      <w:r w:rsidR="0095557E">
        <w:rPr>
          <w:sz w:val="22"/>
          <w:szCs w:val="22"/>
          <w:lang w:val="fr-FR"/>
        </w:rPr>
        <w:t>’</w:t>
      </w:r>
      <w:r w:rsidRPr="009D05FD">
        <w:rPr>
          <w:sz w:val="22"/>
          <w:szCs w:val="22"/>
          <w:lang w:val="fr-FR"/>
        </w:rPr>
        <w:t>une société en vertu du paragraphe</w:t>
      </w:r>
      <w:r w:rsidR="0095557E">
        <w:rPr>
          <w:sz w:val="22"/>
          <w:szCs w:val="22"/>
          <w:lang w:val="fr-FR"/>
        </w:rPr>
        <w:t> </w:t>
      </w:r>
      <w:r w:rsidRPr="009D05FD">
        <w:rPr>
          <w:sz w:val="22"/>
          <w:szCs w:val="22"/>
          <w:lang w:val="fr-FR"/>
        </w:rPr>
        <w:t>85(1)</w:t>
      </w:r>
    </w:p>
    <w:p w14:paraId="32634929" w14:textId="4F7B3A2A" w:rsidR="00714515" w:rsidRPr="009D05FD" w:rsidRDefault="00714515" w:rsidP="00714515">
      <w:pPr>
        <w:tabs>
          <w:tab w:val="left" w:pos="1134"/>
        </w:tabs>
        <w:jc w:val="both"/>
        <w:rPr>
          <w:sz w:val="22"/>
          <w:szCs w:val="22"/>
          <w:lang w:val="fr-FR"/>
        </w:rPr>
      </w:pPr>
      <w:r w:rsidRPr="009D05FD">
        <w:rPr>
          <w:sz w:val="22"/>
          <w:szCs w:val="22"/>
          <w:lang w:val="fr-FR"/>
        </w:rPr>
        <w:t xml:space="preserve">IT-378R </w:t>
      </w:r>
      <w:r w:rsidRPr="009D05FD">
        <w:rPr>
          <w:sz w:val="22"/>
          <w:szCs w:val="22"/>
          <w:lang w:val="fr-FR"/>
        </w:rPr>
        <w:tab/>
        <w:t>Liquidation d</w:t>
      </w:r>
      <w:r w:rsidR="0095557E">
        <w:rPr>
          <w:sz w:val="22"/>
          <w:szCs w:val="22"/>
          <w:lang w:val="fr-FR"/>
        </w:rPr>
        <w:t>’</w:t>
      </w:r>
      <w:r w:rsidRPr="009D05FD">
        <w:rPr>
          <w:sz w:val="22"/>
          <w:szCs w:val="22"/>
          <w:lang w:val="fr-FR"/>
        </w:rPr>
        <w:t>une société en nom collectif</w:t>
      </w:r>
    </w:p>
    <w:p w14:paraId="25FA79C5" w14:textId="188FC360" w:rsidR="00714515" w:rsidRPr="009D05FD" w:rsidRDefault="00714515" w:rsidP="00714515">
      <w:pPr>
        <w:tabs>
          <w:tab w:val="left" w:pos="1134"/>
        </w:tabs>
        <w:jc w:val="both"/>
        <w:rPr>
          <w:sz w:val="22"/>
          <w:szCs w:val="22"/>
          <w:lang w:val="fr-FR"/>
        </w:rPr>
      </w:pPr>
      <w:r w:rsidRPr="009D05FD">
        <w:rPr>
          <w:sz w:val="22"/>
          <w:szCs w:val="22"/>
          <w:lang w:val="fr-FR"/>
        </w:rPr>
        <w:t xml:space="preserve">IT-413R </w:t>
      </w:r>
      <w:r w:rsidRPr="009D05FD">
        <w:rPr>
          <w:sz w:val="22"/>
          <w:szCs w:val="22"/>
          <w:lang w:val="fr-FR"/>
        </w:rPr>
        <w:tab/>
        <w:t>Choix exercé par les membres d</w:t>
      </w:r>
      <w:r w:rsidR="0095557E">
        <w:rPr>
          <w:sz w:val="22"/>
          <w:szCs w:val="22"/>
          <w:lang w:val="fr-FR"/>
        </w:rPr>
        <w:t>’</w:t>
      </w:r>
      <w:r w:rsidRPr="009D05FD">
        <w:rPr>
          <w:sz w:val="22"/>
          <w:szCs w:val="22"/>
          <w:lang w:val="fr-FR"/>
        </w:rPr>
        <w:t>une société en vertu du paragraphe</w:t>
      </w:r>
      <w:r w:rsidR="0095557E">
        <w:rPr>
          <w:sz w:val="22"/>
          <w:szCs w:val="22"/>
          <w:lang w:val="fr-FR"/>
        </w:rPr>
        <w:t> </w:t>
      </w:r>
      <w:r w:rsidRPr="009D05FD">
        <w:rPr>
          <w:sz w:val="22"/>
          <w:szCs w:val="22"/>
          <w:lang w:val="fr-FR"/>
        </w:rPr>
        <w:t>97(2)</w:t>
      </w:r>
    </w:p>
    <w:p w14:paraId="151E462C" w14:textId="77777777" w:rsidR="00714515" w:rsidRPr="009D05FD" w:rsidRDefault="00714515" w:rsidP="00714515">
      <w:pPr>
        <w:tabs>
          <w:tab w:val="left" w:pos="1134"/>
        </w:tabs>
        <w:jc w:val="both"/>
        <w:rPr>
          <w:sz w:val="22"/>
          <w:szCs w:val="22"/>
          <w:lang w:val="fr-FR"/>
        </w:rPr>
      </w:pPr>
      <w:r w:rsidRPr="009D05FD">
        <w:rPr>
          <w:sz w:val="22"/>
          <w:szCs w:val="22"/>
          <w:lang w:val="fr-FR"/>
        </w:rPr>
        <w:t xml:space="preserve">IT-432R2 </w:t>
      </w:r>
      <w:r w:rsidRPr="009D05FD">
        <w:rPr>
          <w:sz w:val="22"/>
          <w:szCs w:val="22"/>
          <w:lang w:val="fr-FR"/>
        </w:rPr>
        <w:tab/>
        <w:t>Avantages accordés à des actionnaires</w:t>
      </w:r>
    </w:p>
    <w:p w14:paraId="4576C406" w14:textId="77777777" w:rsidR="00714515" w:rsidRPr="009D05FD" w:rsidRDefault="00714515" w:rsidP="00714515">
      <w:pPr>
        <w:jc w:val="both"/>
        <w:rPr>
          <w:sz w:val="22"/>
          <w:szCs w:val="22"/>
          <w:lang w:val="fr-FR"/>
        </w:rPr>
      </w:pPr>
    </w:p>
    <w:p w14:paraId="784B034D" w14:textId="77777777" w:rsidR="00714515" w:rsidRPr="009D05FD" w:rsidRDefault="00714515" w:rsidP="00714515">
      <w:pPr>
        <w:jc w:val="both"/>
        <w:rPr>
          <w:sz w:val="22"/>
          <w:szCs w:val="22"/>
          <w:u w:val="single"/>
          <w:lang w:val="fr-FR"/>
        </w:rPr>
      </w:pPr>
      <w:r w:rsidRPr="009D05FD">
        <w:rPr>
          <w:sz w:val="22"/>
          <w:szCs w:val="22"/>
          <w:u w:val="single"/>
          <w:lang w:val="fr-FR"/>
        </w:rPr>
        <w:t>Folio de l’impôt</w:t>
      </w:r>
    </w:p>
    <w:p w14:paraId="70CA9B1A" w14:textId="77777777" w:rsidR="00714515" w:rsidRPr="009D05FD" w:rsidRDefault="00714515" w:rsidP="00714515">
      <w:pPr>
        <w:jc w:val="both"/>
        <w:rPr>
          <w:sz w:val="22"/>
          <w:szCs w:val="22"/>
          <w:lang w:val="fr-FR"/>
        </w:rPr>
      </w:pPr>
    </w:p>
    <w:p w14:paraId="27AD37A6" w14:textId="77777777" w:rsidR="00714515" w:rsidRPr="009D05FD" w:rsidRDefault="00714515" w:rsidP="00714515">
      <w:pPr>
        <w:tabs>
          <w:tab w:val="left" w:pos="1134"/>
        </w:tabs>
        <w:jc w:val="both"/>
        <w:rPr>
          <w:sz w:val="22"/>
          <w:szCs w:val="22"/>
          <w:lang w:val="fr-FR"/>
        </w:rPr>
      </w:pPr>
      <w:r w:rsidRPr="009D05FD">
        <w:rPr>
          <w:sz w:val="22"/>
          <w:szCs w:val="22"/>
          <w:lang w:val="fr-FR"/>
        </w:rPr>
        <w:t>S4-F3-C1</w:t>
      </w:r>
      <w:r w:rsidRPr="009D05FD">
        <w:rPr>
          <w:sz w:val="22"/>
          <w:szCs w:val="22"/>
          <w:lang w:val="fr-FR"/>
        </w:rPr>
        <w:tab/>
        <w:t>Clauses de rajustement du prix</w:t>
      </w:r>
    </w:p>
    <w:p w14:paraId="3B3C90E1" w14:textId="77777777" w:rsidR="00714515" w:rsidRPr="009D05FD" w:rsidRDefault="00714515" w:rsidP="00714515">
      <w:pPr>
        <w:jc w:val="both"/>
        <w:rPr>
          <w:sz w:val="22"/>
          <w:szCs w:val="22"/>
          <w:lang w:val="fr-FR"/>
        </w:rPr>
      </w:pPr>
    </w:p>
    <w:p w14:paraId="1D8EDCB6" w14:textId="77777777" w:rsidR="00714515" w:rsidRPr="009D05FD" w:rsidRDefault="00714515" w:rsidP="00714515">
      <w:pPr>
        <w:jc w:val="both"/>
        <w:rPr>
          <w:sz w:val="22"/>
          <w:szCs w:val="22"/>
          <w:u w:val="single"/>
          <w:lang w:val="fr-FR"/>
        </w:rPr>
      </w:pPr>
      <w:r w:rsidRPr="009D05FD">
        <w:rPr>
          <w:sz w:val="22"/>
          <w:szCs w:val="22"/>
          <w:u w:val="single"/>
          <w:lang w:val="fr-FR"/>
        </w:rPr>
        <w:t>Circulaire d’information</w:t>
      </w:r>
    </w:p>
    <w:p w14:paraId="0CB5E4D9" w14:textId="77777777" w:rsidR="00714515" w:rsidRPr="009D05FD" w:rsidRDefault="00714515" w:rsidP="00714515">
      <w:pPr>
        <w:jc w:val="both"/>
        <w:rPr>
          <w:sz w:val="22"/>
          <w:szCs w:val="22"/>
          <w:lang w:val="fr-FR"/>
        </w:rPr>
      </w:pPr>
    </w:p>
    <w:p w14:paraId="39190B2F" w14:textId="4DDA86EC" w:rsidR="00714515" w:rsidRPr="009D05FD" w:rsidRDefault="00714515" w:rsidP="00714515">
      <w:pPr>
        <w:tabs>
          <w:tab w:val="left" w:pos="1134"/>
        </w:tabs>
        <w:jc w:val="both"/>
        <w:rPr>
          <w:sz w:val="22"/>
          <w:szCs w:val="22"/>
          <w:lang w:val="fr-FR"/>
        </w:rPr>
      </w:pPr>
      <w:r w:rsidRPr="009D05FD">
        <w:rPr>
          <w:sz w:val="22"/>
          <w:szCs w:val="22"/>
          <w:lang w:val="fr-FR"/>
        </w:rPr>
        <w:t xml:space="preserve">IC76-19R3 </w:t>
      </w:r>
      <w:r w:rsidRPr="009D05FD">
        <w:rPr>
          <w:sz w:val="22"/>
          <w:szCs w:val="22"/>
          <w:lang w:val="fr-FR"/>
        </w:rPr>
        <w:tab/>
        <w:t>Transfert de biens à une société en vertu de l’article</w:t>
      </w:r>
      <w:r w:rsidR="0095557E">
        <w:rPr>
          <w:sz w:val="22"/>
          <w:szCs w:val="22"/>
          <w:lang w:val="fr-FR"/>
        </w:rPr>
        <w:t> </w:t>
      </w:r>
      <w:r w:rsidRPr="009D05FD">
        <w:rPr>
          <w:sz w:val="22"/>
          <w:szCs w:val="22"/>
          <w:lang w:val="fr-FR"/>
        </w:rPr>
        <w:t>85</w:t>
      </w:r>
    </w:p>
    <w:p w14:paraId="10CEE650" w14:textId="77777777" w:rsidR="00FD6C9A" w:rsidRDefault="00FD6C9A" w:rsidP="00AC66FC">
      <w:pPr>
        <w:pStyle w:val="a"/>
        <w:spacing w:after="120"/>
        <w:ind w:left="360" w:hanging="360"/>
        <w:jc w:val="both"/>
        <w:rPr>
          <w:rFonts w:ascii="Arial" w:hAnsi="Arial" w:cs="Arial"/>
          <w:sz w:val="22"/>
          <w:szCs w:val="22"/>
        </w:rPr>
      </w:pPr>
    </w:p>
    <w:p w14:paraId="6C66558A" w14:textId="77777777" w:rsidR="00714515" w:rsidRDefault="00714515" w:rsidP="00714515">
      <w:pPr>
        <w:pStyle w:val="a"/>
        <w:spacing w:after="120"/>
        <w:ind w:left="0"/>
        <w:jc w:val="both"/>
        <w:rPr>
          <w:rFonts w:ascii="Arial" w:hAnsi="Arial" w:cs="Arial"/>
          <w:sz w:val="22"/>
          <w:szCs w:val="22"/>
        </w:rPr>
      </w:pPr>
    </w:p>
    <w:p w14:paraId="2CEC7E1A" w14:textId="77777777" w:rsidR="00714515" w:rsidRDefault="00714515" w:rsidP="00714515">
      <w:pPr>
        <w:pStyle w:val="a"/>
        <w:spacing w:after="120"/>
        <w:ind w:left="0"/>
        <w:jc w:val="both"/>
        <w:rPr>
          <w:rFonts w:ascii="Arial" w:hAnsi="Arial" w:cs="Arial"/>
          <w:b/>
          <w:sz w:val="22"/>
          <w:szCs w:val="22"/>
          <w:u w:val="single"/>
        </w:rPr>
      </w:pPr>
      <w:r w:rsidRPr="009D05FD">
        <w:rPr>
          <w:rFonts w:ascii="Arial" w:hAnsi="Arial" w:cs="Arial"/>
          <w:b/>
          <w:sz w:val="22"/>
          <w:szCs w:val="22"/>
          <w:u w:val="single"/>
        </w:rPr>
        <w:t>Québec</w:t>
      </w:r>
    </w:p>
    <w:p w14:paraId="07AE85BD" w14:textId="77777777" w:rsidR="00714515" w:rsidRPr="009D05FD" w:rsidRDefault="00714515" w:rsidP="00714515">
      <w:pPr>
        <w:jc w:val="both"/>
        <w:rPr>
          <w:sz w:val="22"/>
          <w:szCs w:val="22"/>
          <w:u w:val="single"/>
          <w:lang w:val="fr-FR"/>
        </w:rPr>
      </w:pPr>
      <w:r w:rsidRPr="009D05FD">
        <w:rPr>
          <w:sz w:val="22"/>
          <w:szCs w:val="22"/>
          <w:u w:val="single"/>
          <w:lang w:val="fr-FR"/>
        </w:rPr>
        <w:t>Bulletins d’interprétation</w:t>
      </w:r>
    </w:p>
    <w:p w14:paraId="4D4D526A" w14:textId="77777777" w:rsidR="00714515" w:rsidRPr="009D05FD" w:rsidRDefault="00714515" w:rsidP="00714515">
      <w:pPr>
        <w:jc w:val="both"/>
        <w:rPr>
          <w:sz w:val="22"/>
          <w:szCs w:val="22"/>
          <w:lang w:val="fr-FR"/>
        </w:rPr>
      </w:pPr>
    </w:p>
    <w:p w14:paraId="2A5F9389" w14:textId="77777777" w:rsidR="00714515" w:rsidRPr="009D05FD" w:rsidRDefault="00714515" w:rsidP="00714515">
      <w:pPr>
        <w:tabs>
          <w:tab w:val="left" w:pos="1701"/>
        </w:tabs>
        <w:ind w:left="1701" w:hanging="1701"/>
        <w:jc w:val="both"/>
        <w:rPr>
          <w:sz w:val="22"/>
          <w:szCs w:val="22"/>
          <w:lang w:val="fr-FR"/>
        </w:rPr>
      </w:pPr>
      <w:r w:rsidRPr="009D05FD">
        <w:rPr>
          <w:sz w:val="22"/>
          <w:szCs w:val="22"/>
          <w:lang w:val="fr-FR"/>
        </w:rPr>
        <w:t xml:space="preserve">IMP.111-1/R2* </w:t>
      </w:r>
      <w:r w:rsidRPr="009D05FD">
        <w:rPr>
          <w:sz w:val="22"/>
          <w:szCs w:val="22"/>
          <w:lang w:val="fr-FR"/>
        </w:rPr>
        <w:tab/>
        <w:t>Avantage accordé à un actionnaire</w:t>
      </w:r>
    </w:p>
    <w:p w14:paraId="2FABBF3E" w14:textId="77777777" w:rsidR="00714515" w:rsidRPr="009D05FD" w:rsidRDefault="00714515" w:rsidP="00714515">
      <w:pPr>
        <w:tabs>
          <w:tab w:val="left" w:pos="1701"/>
        </w:tabs>
        <w:ind w:left="1701" w:hanging="1701"/>
        <w:jc w:val="both"/>
        <w:rPr>
          <w:sz w:val="22"/>
          <w:szCs w:val="22"/>
          <w:lang w:val="fr-FR"/>
        </w:rPr>
      </w:pPr>
      <w:r w:rsidRPr="009D05FD">
        <w:rPr>
          <w:sz w:val="22"/>
          <w:szCs w:val="22"/>
          <w:lang w:val="fr-FR"/>
        </w:rPr>
        <w:t xml:space="preserve">IMP.520.1-1/R1 </w:t>
      </w:r>
      <w:r w:rsidRPr="009D05FD">
        <w:rPr>
          <w:sz w:val="22"/>
          <w:szCs w:val="22"/>
          <w:lang w:val="fr-FR"/>
        </w:rPr>
        <w:tab/>
        <w:t>Aliénation d’un bien en faveur d’une société canadienne imposable — Délai de transmission du formulaire prescrit et pénalité</w:t>
      </w:r>
    </w:p>
    <w:p w14:paraId="6AD48A82" w14:textId="508B91C9" w:rsidR="00714515" w:rsidRPr="009D05FD" w:rsidRDefault="00714515" w:rsidP="00714515">
      <w:pPr>
        <w:tabs>
          <w:tab w:val="left" w:pos="1701"/>
        </w:tabs>
        <w:ind w:left="1701" w:hanging="1701"/>
        <w:jc w:val="both"/>
        <w:rPr>
          <w:sz w:val="22"/>
          <w:szCs w:val="22"/>
          <w:lang w:val="fr-FR"/>
        </w:rPr>
      </w:pPr>
      <w:r w:rsidRPr="009D05FD">
        <w:rPr>
          <w:sz w:val="22"/>
          <w:szCs w:val="22"/>
          <w:lang w:val="fr-FR"/>
        </w:rPr>
        <w:t xml:space="preserve">IMP.521.2-1/R1 </w:t>
      </w:r>
      <w:r w:rsidRPr="009D05FD">
        <w:rPr>
          <w:sz w:val="22"/>
          <w:szCs w:val="22"/>
          <w:lang w:val="fr-FR"/>
        </w:rPr>
        <w:tab/>
        <w:t>Aliénation d’un bien effectuée en faveur d’une société canadienne imposable</w:t>
      </w:r>
      <w:r w:rsidR="0095557E">
        <w:rPr>
          <w:sz w:val="22"/>
          <w:szCs w:val="22"/>
          <w:lang w:val="fr-FR"/>
        </w:rPr>
        <w:t> </w:t>
      </w:r>
      <w:r w:rsidRPr="009D05FD">
        <w:rPr>
          <w:sz w:val="22"/>
          <w:szCs w:val="22"/>
          <w:lang w:val="fr-FR"/>
        </w:rPr>
        <w:t>: transfert sans incidence fiscale — Règles générales</w:t>
      </w:r>
    </w:p>
    <w:p w14:paraId="76D28706" w14:textId="77777777" w:rsidR="00714515" w:rsidRPr="009D05FD" w:rsidRDefault="00714515" w:rsidP="00714515">
      <w:pPr>
        <w:tabs>
          <w:tab w:val="left" w:pos="1701"/>
        </w:tabs>
        <w:ind w:left="1701" w:hanging="1701"/>
        <w:jc w:val="both"/>
        <w:rPr>
          <w:sz w:val="22"/>
          <w:szCs w:val="22"/>
          <w:lang w:val="fr-FR"/>
        </w:rPr>
      </w:pPr>
      <w:r w:rsidRPr="009D05FD">
        <w:rPr>
          <w:sz w:val="22"/>
          <w:szCs w:val="22"/>
          <w:lang w:val="fr-FR"/>
        </w:rPr>
        <w:t xml:space="preserve">IMP.522-1/R1 </w:t>
      </w:r>
      <w:r w:rsidRPr="009D05FD">
        <w:rPr>
          <w:sz w:val="22"/>
          <w:szCs w:val="22"/>
          <w:lang w:val="fr-FR"/>
        </w:rPr>
        <w:tab/>
        <w:t>Aliénation d’un bien effectuée en faveur d’une société canadienne imposable</w:t>
      </w:r>
      <w:r w:rsidR="009D05FD">
        <w:rPr>
          <w:sz w:val="22"/>
          <w:szCs w:val="22"/>
          <w:lang w:val="fr-FR"/>
        </w:rPr>
        <w:t> </w:t>
      </w:r>
      <w:r w:rsidRPr="009D05FD">
        <w:rPr>
          <w:sz w:val="22"/>
          <w:szCs w:val="22"/>
          <w:lang w:val="fr-FR"/>
        </w:rPr>
        <w:t>— Choix distinct, demande d’agrément et demande de roulement</w:t>
      </w:r>
    </w:p>
    <w:p w14:paraId="0592DD4E" w14:textId="77777777" w:rsidR="00714515" w:rsidRPr="009D05FD" w:rsidRDefault="00714515" w:rsidP="00714515">
      <w:pPr>
        <w:tabs>
          <w:tab w:val="left" w:pos="1701"/>
        </w:tabs>
        <w:ind w:left="1701" w:hanging="1701"/>
        <w:jc w:val="both"/>
        <w:rPr>
          <w:sz w:val="22"/>
          <w:szCs w:val="22"/>
          <w:lang w:val="fr-FR"/>
        </w:rPr>
      </w:pPr>
      <w:bookmarkStart w:id="7" w:name="_Toc458076946"/>
      <w:bookmarkStart w:id="8" w:name="_Toc459710700"/>
      <w:bookmarkStart w:id="9" w:name="_Toc458076947"/>
      <w:bookmarkStart w:id="10" w:name="_Toc459710701"/>
      <w:bookmarkStart w:id="11" w:name="_Toc458076948"/>
      <w:bookmarkStart w:id="12" w:name="_Toc459710702"/>
      <w:bookmarkStart w:id="13" w:name="_Toc458076949"/>
      <w:bookmarkStart w:id="14" w:name="_Toc459710703"/>
      <w:bookmarkEnd w:id="7"/>
      <w:bookmarkEnd w:id="8"/>
      <w:bookmarkEnd w:id="9"/>
      <w:bookmarkEnd w:id="10"/>
      <w:bookmarkEnd w:id="11"/>
      <w:bookmarkEnd w:id="12"/>
      <w:bookmarkEnd w:id="13"/>
      <w:bookmarkEnd w:id="14"/>
      <w:r w:rsidRPr="009D05FD">
        <w:rPr>
          <w:sz w:val="22"/>
          <w:szCs w:val="22"/>
          <w:lang w:val="fr-FR"/>
        </w:rPr>
        <w:t>IMP.1056.4-1/R1* Choix tardif, modifié ou révoqué</w:t>
      </w:r>
    </w:p>
    <w:p w14:paraId="6E40B101" w14:textId="77777777" w:rsidR="00714515" w:rsidRPr="009D05FD" w:rsidRDefault="00714515" w:rsidP="00714515">
      <w:pPr>
        <w:tabs>
          <w:tab w:val="left" w:pos="1701"/>
        </w:tabs>
        <w:ind w:left="1701" w:hanging="1701"/>
        <w:jc w:val="both"/>
        <w:rPr>
          <w:sz w:val="22"/>
          <w:szCs w:val="22"/>
          <w:lang w:val="fr-FR"/>
        </w:rPr>
      </w:pPr>
    </w:p>
    <w:p w14:paraId="7423AC57" w14:textId="77777777" w:rsidR="00714515" w:rsidRDefault="00714515" w:rsidP="009D05FD">
      <w:pPr>
        <w:pStyle w:val="a"/>
        <w:spacing w:after="120"/>
        <w:ind w:left="0"/>
        <w:jc w:val="both"/>
        <w:rPr>
          <w:rFonts w:ascii="Arial" w:hAnsi="Arial"/>
          <w:bCs/>
          <w:snapToGrid/>
          <w:sz w:val="22"/>
          <w:szCs w:val="22"/>
        </w:rPr>
      </w:pPr>
      <w:r w:rsidRPr="009D05FD">
        <w:rPr>
          <w:rFonts w:ascii="Arial" w:hAnsi="Arial"/>
          <w:snapToGrid/>
          <w:sz w:val="22"/>
          <w:szCs w:val="22"/>
          <w:lang w:val="fr-FR"/>
        </w:rPr>
        <w:t>*</w:t>
      </w:r>
      <w:r w:rsidRPr="009D05FD">
        <w:rPr>
          <w:rFonts w:ascii="Arial" w:hAnsi="Arial"/>
          <w:bCs/>
          <w:snapToGrid/>
          <w:sz w:val="22"/>
          <w:szCs w:val="22"/>
        </w:rPr>
        <w:t>Ces bulletins sont retirés et archivés. Ils sont à jour en date de leur dernière publication. Ils demeurent cependant disponibles à des fins de recherche ou à titre de référence.</w:t>
      </w:r>
    </w:p>
    <w:p w14:paraId="0B253E9C" w14:textId="77777777" w:rsidR="000460E3" w:rsidRDefault="000460E3" w:rsidP="009D05FD">
      <w:pPr>
        <w:pStyle w:val="a"/>
        <w:spacing w:after="120"/>
        <w:ind w:left="0"/>
        <w:jc w:val="both"/>
        <w:rPr>
          <w:rFonts w:ascii="Arial" w:hAnsi="Arial"/>
          <w:bCs/>
          <w:snapToGrid/>
          <w:sz w:val="22"/>
          <w:szCs w:val="22"/>
        </w:rPr>
      </w:pPr>
    </w:p>
    <w:p w14:paraId="42D371FE" w14:textId="630D2A86" w:rsidR="000460E3" w:rsidRPr="009D05FD" w:rsidRDefault="000460E3" w:rsidP="009D05FD">
      <w:pPr>
        <w:pStyle w:val="a"/>
        <w:spacing w:after="120"/>
        <w:ind w:left="0"/>
        <w:jc w:val="both"/>
        <w:rPr>
          <w:rFonts w:ascii="Arial" w:hAnsi="Arial" w:cs="Arial"/>
          <w:b/>
          <w:sz w:val="22"/>
          <w:szCs w:val="22"/>
          <w:u w:val="single"/>
        </w:rPr>
        <w:sectPr w:rsidR="000460E3" w:rsidRPr="009D05FD" w:rsidSect="001A637D">
          <w:headerReference w:type="default" r:id="rId13"/>
          <w:footerReference w:type="default" r:id="rId14"/>
          <w:pgSz w:w="12240" w:h="15840" w:code="1"/>
          <w:pgMar w:top="1440" w:right="1440" w:bottom="1440" w:left="1440" w:header="720" w:footer="363" w:gutter="0"/>
          <w:pgNumType w:start="1"/>
          <w:cols w:space="720"/>
          <w:noEndnote/>
          <w:docGrid w:linePitch="326"/>
        </w:sectPr>
      </w:pPr>
    </w:p>
    <w:p w14:paraId="44C8F637" w14:textId="77777777" w:rsidR="000269E3" w:rsidRPr="00BD011C" w:rsidRDefault="001A637D" w:rsidP="004A359B">
      <w:pPr>
        <w:pStyle w:val="Titre1"/>
      </w:pPr>
      <w:bookmarkStart w:id="15" w:name="_Toc368571833"/>
      <w:r w:rsidRPr="00BD011C">
        <w:lastRenderedPageBreak/>
        <w:t>LISTE DE CONTRÔLE</w:t>
      </w:r>
      <w:bookmarkEnd w:id="15"/>
    </w:p>
    <w:p w14:paraId="6C9A66C2" w14:textId="77777777" w:rsidR="000269E3" w:rsidRPr="00BD011C" w:rsidRDefault="000269E3" w:rsidP="004A359B">
      <w:pPr>
        <w:rPr>
          <w:rFonts w:cs="Arial"/>
        </w:rPr>
      </w:pPr>
    </w:p>
    <w:p w14:paraId="7A6504F4" w14:textId="77777777" w:rsidR="000269E3" w:rsidRPr="00BD011C" w:rsidRDefault="000269E3" w:rsidP="004A359B">
      <w:pPr>
        <w:tabs>
          <w:tab w:val="left" w:pos="5760"/>
        </w:tabs>
        <w:rPr>
          <w:rFonts w:cs="Arial"/>
          <w:u w:val="single"/>
        </w:rPr>
      </w:pPr>
      <w:r w:rsidRPr="00BD011C">
        <w:rPr>
          <w:rFonts w:cs="Arial"/>
        </w:rPr>
        <w:t xml:space="preserve">Nom de l’entreprise : </w:t>
      </w:r>
      <w:r w:rsidRPr="00BD011C">
        <w:rPr>
          <w:rFonts w:cs="Arial"/>
          <w:u w:val="single"/>
        </w:rPr>
        <w:tab/>
      </w:r>
    </w:p>
    <w:p w14:paraId="107BF4D0" w14:textId="77777777" w:rsidR="000269E3" w:rsidRPr="00BD011C" w:rsidRDefault="000269E3" w:rsidP="004A359B">
      <w:pPr>
        <w:tabs>
          <w:tab w:val="left" w:pos="5760"/>
        </w:tabs>
        <w:rPr>
          <w:rFonts w:cs="Arial"/>
        </w:rPr>
      </w:pPr>
    </w:p>
    <w:p w14:paraId="7E6B7FE3" w14:textId="6D4601A3" w:rsidR="000269E3" w:rsidRPr="00BD011C" w:rsidRDefault="000269E3" w:rsidP="004A359B">
      <w:pPr>
        <w:tabs>
          <w:tab w:val="left" w:pos="5760"/>
        </w:tabs>
        <w:rPr>
          <w:rFonts w:cs="Arial"/>
          <w:u w:val="single"/>
        </w:rPr>
      </w:pPr>
      <w:r w:rsidRPr="00BD011C">
        <w:rPr>
          <w:rFonts w:cs="Arial"/>
        </w:rPr>
        <w:t>Fin de l’exercice</w:t>
      </w:r>
      <w:r w:rsidR="0095557E">
        <w:rPr>
          <w:rFonts w:cs="Arial"/>
        </w:rPr>
        <w:t> </w:t>
      </w:r>
      <w:r w:rsidRPr="00BD011C">
        <w:rPr>
          <w:rFonts w:cs="Arial"/>
        </w:rPr>
        <w:t xml:space="preserve">: </w:t>
      </w:r>
      <w:r w:rsidRPr="00BD011C">
        <w:rPr>
          <w:rFonts w:cs="Arial"/>
          <w:u w:val="single"/>
        </w:rPr>
        <w:tab/>
      </w:r>
    </w:p>
    <w:p w14:paraId="7D162DBC" w14:textId="77777777" w:rsidR="000269E3" w:rsidRPr="00BD011C" w:rsidRDefault="000269E3" w:rsidP="004A359B">
      <w:pPr>
        <w:rPr>
          <w:rFonts w:cs="Arial"/>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33"/>
        <w:gridCol w:w="628"/>
        <w:gridCol w:w="717"/>
        <w:gridCol w:w="659"/>
        <w:gridCol w:w="3121"/>
      </w:tblGrid>
      <w:tr w:rsidR="000269E3" w:rsidRPr="00BD011C" w14:paraId="3B407BD3" w14:textId="77777777" w:rsidTr="001A637D">
        <w:trPr>
          <w:cantSplit/>
          <w:tblHeader/>
        </w:trPr>
        <w:tc>
          <w:tcPr>
            <w:tcW w:w="4233" w:type="dxa"/>
            <w:shd w:val="pct10" w:color="auto" w:fill="FFFFFF"/>
          </w:tcPr>
          <w:p w14:paraId="56E57251" w14:textId="77777777" w:rsidR="000269E3" w:rsidRPr="00BD011C" w:rsidRDefault="000269E3" w:rsidP="00FD6C9A">
            <w:pPr>
              <w:spacing w:before="120" w:after="120"/>
              <w:jc w:val="center"/>
              <w:rPr>
                <w:rFonts w:cs="Arial"/>
                <w:sz w:val="20"/>
              </w:rPr>
            </w:pPr>
            <w:r w:rsidRPr="00BD011C">
              <w:rPr>
                <w:rFonts w:cs="Arial"/>
                <w:b/>
                <w:sz w:val="20"/>
              </w:rPr>
              <w:t>Questions</w:t>
            </w:r>
          </w:p>
        </w:tc>
        <w:tc>
          <w:tcPr>
            <w:tcW w:w="628" w:type="dxa"/>
            <w:shd w:val="pct10" w:color="auto" w:fill="FFFFFF"/>
          </w:tcPr>
          <w:p w14:paraId="3B5F725B" w14:textId="77777777" w:rsidR="000269E3" w:rsidRPr="00BD011C" w:rsidRDefault="000269E3" w:rsidP="00FD6C9A">
            <w:pPr>
              <w:spacing w:before="120" w:after="120"/>
              <w:jc w:val="center"/>
              <w:rPr>
                <w:rFonts w:cs="Arial"/>
                <w:sz w:val="20"/>
              </w:rPr>
            </w:pPr>
            <w:r w:rsidRPr="00BD011C">
              <w:rPr>
                <w:rFonts w:cs="Arial"/>
                <w:b/>
                <w:sz w:val="20"/>
              </w:rPr>
              <w:t>Oui</w:t>
            </w:r>
          </w:p>
        </w:tc>
        <w:tc>
          <w:tcPr>
            <w:tcW w:w="717" w:type="dxa"/>
            <w:shd w:val="pct10" w:color="auto" w:fill="FFFFFF"/>
          </w:tcPr>
          <w:p w14:paraId="57B2DA3C" w14:textId="77777777" w:rsidR="000269E3" w:rsidRPr="00BD011C" w:rsidRDefault="000269E3" w:rsidP="00FD6C9A">
            <w:pPr>
              <w:spacing w:before="120" w:after="120"/>
              <w:jc w:val="center"/>
              <w:rPr>
                <w:rFonts w:cs="Arial"/>
                <w:sz w:val="20"/>
              </w:rPr>
            </w:pPr>
            <w:r w:rsidRPr="00BD011C">
              <w:rPr>
                <w:rFonts w:cs="Arial"/>
                <w:b/>
                <w:sz w:val="20"/>
              </w:rPr>
              <w:t>Non</w:t>
            </w:r>
          </w:p>
        </w:tc>
        <w:tc>
          <w:tcPr>
            <w:tcW w:w="659" w:type="dxa"/>
            <w:shd w:val="pct10" w:color="auto" w:fill="FFFFFF"/>
          </w:tcPr>
          <w:p w14:paraId="036B0D16" w14:textId="77777777" w:rsidR="000269E3" w:rsidRPr="00BD011C" w:rsidRDefault="000269E3" w:rsidP="00FD6C9A">
            <w:pPr>
              <w:spacing w:before="120" w:after="120"/>
              <w:jc w:val="center"/>
              <w:rPr>
                <w:rFonts w:cs="Arial"/>
                <w:sz w:val="20"/>
              </w:rPr>
            </w:pPr>
            <w:r w:rsidRPr="00BD011C">
              <w:rPr>
                <w:rFonts w:cs="Arial"/>
                <w:b/>
                <w:sz w:val="20"/>
              </w:rPr>
              <w:t>S</w:t>
            </w:r>
            <w:r w:rsidR="001A637D" w:rsidRPr="00BD011C">
              <w:rPr>
                <w:rFonts w:cs="Arial"/>
                <w:b/>
                <w:sz w:val="20"/>
              </w:rPr>
              <w:t xml:space="preserve">. </w:t>
            </w:r>
            <w:r w:rsidRPr="00BD011C">
              <w:rPr>
                <w:rFonts w:cs="Arial"/>
                <w:b/>
                <w:sz w:val="20"/>
              </w:rPr>
              <w:t>O</w:t>
            </w:r>
            <w:r w:rsidR="001A637D" w:rsidRPr="00BD011C">
              <w:rPr>
                <w:rFonts w:cs="Arial"/>
                <w:b/>
                <w:sz w:val="20"/>
              </w:rPr>
              <w:t>.</w:t>
            </w:r>
          </w:p>
        </w:tc>
        <w:tc>
          <w:tcPr>
            <w:tcW w:w="3121" w:type="dxa"/>
            <w:shd w:val="pct10" w:color="auto" w:fill="FFFFFF"/>
          </w:tcPr>
          <w:p w14:paraId="3CE1BDF0" w14:textId="77777777" w:rsidR="000269E3" w:rsidRPr="00BD011C" w:rsidRDefault="000269E3" w:rsidP="00FD6C9A">
            <w:pPr>
              <w:spacing w:before="120" w:after="120"/>
              <w:jc w:val="center"/>
              <w:rPr>
                <w:rFonts w:cs="Arial"/>
                <w:sz w:val="20"/>
              </w:rPr>
            </w:pPr>
            <w:r w:rsidRPr="00BD011C">
              <w:rPr>
                <w:rFonts w:cs="Arial"/>
                <w:b/>
                <w:sz w:val="20"/>
              </w:rPr>
              <w:t>Commentaires</w:t>
            </w:r>
          </w:p>
        </w:tc>
      </w:tr>
      <w:tr w:rsidR="000269E3" w:rsidRPr="00BD011C" w14:paraId="47E04EE0" w14:textId="77777777" w:rsidTr="001A637D">
        <w:trPr>
          <w:cantSplit/>
          <w:trHeight w:val="403"/>
        </w:trPr>
        <w:tc>
          <w:tcPr>
            <w:tcW w:w="4233" w:type="dxa"/>
            <w:shd w:val="clear" w:color="auto" w:fill="FFFFFF"/>
          </w:tcPr>
          <w:p w14:paraId="33DB2D1D" w14:textId="77777777" w:rsidR="000269E3" w:rsidRPr="00BD011C" w:rsidRDefault="000269E3" w:rsidP="00FD6C9A">
            <w:pPr>
              <w:pStyle w:val="Titre2"/>
              <w:spacing w:before="120" w:after="120"/>
              <w:rPr>
                <w:rFonts w:cs="Arial"/>
              </w:rPr>
            </w:pPr>
            <w:bookmarkStart w:id="16" w:name="_Toc368571834"/>
            <w:r w:rsidRPr="00BD011C">
              <w:rPr>
                <w:rFonts w:cs="Arial"/>
              </w:rPr>
              <w:t>Section A</w:t>
            </w:r>
            <w:r w:rsidRPr="00BD011C">
              <w:rPr>
                <w:rFonts w:cs="Arial"/>
              </w:rPr>
              <w:cr/>
              <w:t>Questions préalables</w:t>
            </w:r>
            <w:bookmarkEnd w:id="16"/>
          </w:p>
          <w:p w14:paraId="7A5E74BE" w14:textId="77777777" w:rsidR="000269E3" w:rsidRPr="00BD011C" w:rsidRDefault="000269E3" w:rsidP="00FD6C9A">
            <w:pPr>
              <w:pStyle w:val="soustitre1"/>
              <w:spacing w:before="120" w:after="120"/>
              <w:rPr>
                <w:rFonts w:ascii="Arial" w:hAnsi="Arial" w:cs="Arial"/>
                <w:sz w:val="24"/>
              </w:rPr>
            </w:pPr>
            <w:r w:rsidRPr="00BD011C">
              <w:rPr>
                <w:rFonts w:ascii="Arial" w:hAnsi="Arial" w:cs="Arial"/>
                <w:sz w:val="20"/>
              </w:rPr>
              <w:t>Les documents juridiques nécessaires au transfert ont-ils été préparés?</w:t>
            </w:r>
          </w:p>
        </w:tc>
        <w:tc>
          <w:tcPr>
            <w:tcW w:w="628" w:type="dxa"/>
            <w:shd w:val="clear" w:color="auto" w:fill="FFFFFF"/>
          </w:tcPr>
          <w:p w14:paraId="14B19A9B" w14:textId="77777777" w:rsidR="000269E3" w:rsidRPr="00BD011C" w:rsidRDefault="000269E3" w:rsidP="00FD6C9A">
            <w:pPr>
              <w:spacing w:before="120" w:after="120"/>
              <w:jc w:val="center"/>
              <w:rPr>
                <w:rFonts w:cs="Arial"/>
              </w:rPr>
            </w:pPr>
          </w:p>
        </w:tc>
        <w:tc>
          <w:tcPr>
            <w:tcW w:w="717" w:type="dxa"/>
            <w:shd w:val="clear" w:color="auto" w:fill="FFFFFF"/>
          </w:tcPr>
          <w:p w14:paraId="7C84F044" w14:textId="77777777" w:rsidR="000269E3" w:rsidRPr="00BD011C" w:rsidRDefault="000269E3" w:rsidP="00FD6C9A">
            <w:pPr>
              <w:spacing w:before="120" w:after="120"/>
              <w:jc w:val="center"/>
              <w:rPr>
                <w:rFonts w:cs="Arial"/>
              </w:rPr>
            </w:pPr>
          </w:p>
        </w:tc>
        <w:tc>
          <w:tcPr>
            <w:tcW w:w="659" w:type="dxa"/>
            <w:shd w:val="clear" w:color="auto" w:fill="FFFFFF"/>
          </w:tcPr>
          <w:p w14:paraId="1302573E" w14:textId="77777777" w:rsidR="000269E3" w:rsidRPr="00BD011C" w:rsidRDefault="000269E3" w:rsidP="00FD6C9A">
            <w:pPr>
              <w:spacing w:before="120" w:after="120"/>
              <w:jc w:val="center"/>
              <w:rPr>
                <w:rFonts w:cs="Arial"/>
              </w:rPr>
            </w:pPr>
          </w:p>
        </w:tc>
        <w:tc>
          <w:tcPr>
            <w:tcW w:w="3121" w:type="dxa"/>
            <w:shd w:val="clear" w:color="auto" w:fill="FFFFFF"/>
          </w:tcPr>
          <w:p w14:paraId="5BD9A6C9" w14:textId="77777777" w:rsidR="000269E3" w:rsidRPr="00BD011C" w:rsidRDefault="000269E3" w:rsidP="00FD6C9A">
            <w:pPr>
              <w:spacing w:before="120" w:after="120"/>
              <w:jc w:val="center"/>
              <w:rPr>
                <w:rFonts w:cs="Arial"/>
              </w:rPr>
            </w:pPr>
          </w:p>
        </w:tc>
      </w:tr>
      <w:tr w:rsidR="000269E3" w:rsidRPr="00BD011C" w14:paraId="3AB600B1" w14:textId="77777777" w:rsidTr="001A637D">
        <w:trPr>
          <w:cantSplit/>
          <w:trHeight w:val="403"/>
        </w:trPr>
        <w:tc>
          <w:tcPr>
            <w:tcW w:w="4233" w:type="dxa"/>
            <w:shd w:val="clear" w:color="auto" w:fill="FFFFFF"/>
          </w:tcPr>
          <w:p w14:paraId="033EC9C3" w14:textId="77777777" w:rsidR="000269E3" w:rsidRPr="00BD011C" w:rsidRDefault="000269E3" w:rsidP="00FD6C9A">
            <w:pPr>
              <w:pStyle w:val="123"/>
              <w:spacing w:before="120" w:after="120"/>
              <w:rPr>
                <w:rFonts w:ascii="Arial" w:hAnsi="Arial" w:cs="Arial"/>
                <w:snapToGrid/>
              </w:rPr>
            </w:pPr>
            <w:r w:rsidRPr="00BD011C">
              <w:rPr>
                <w:rFonts w:ascii="Arial" w:hAnsi="Arial" w:cs="Arial"/>
                <w:snapToGrid/>
              </w:rPr>
              <w:t>La révision des documents juridiques a-t-elle été effectuée?</w:t>
            </w:r>
          </w:p>
        </w:tc>
        <w:tc>
          <w:tcPr>
            <w:tcW w:w="628" w:type="dxa"/>
            <w:shd w:val="clear" w:color="auto" w:fill="FFFFFF"/>
          </w:tcPr>
          <w:p w14:paraId="1ACEDDE9" w14:textId="77777777" w:rsidR="000269E3" w:rsidRPr="00BD011C" w:rsidRDefault="000269E3" w:rsidP="00FD6C9A">
            <w:pPr>
              <w:spacing w:before="120" w:after="120"/>
              <w:jc w:val="center"/>
              <w:rPr>
                <w:rFonts w:cs="Arial"/>
                <w:sz w:val="20"/>
              </w:rPr>
            </w:pPr>
          </w:p>
        </w:tc>
        <w:tc>
          <w:tcPr>
            <w:tcW w:w="717" w:type="dxa"/>
            <w:shd w:val="clear" w:color="auto" w:fill="FFFFFF"/>
          </w:tcPr>
          <w:p w14:paraId="0D240399" w14:textId="77777777" w:rsidR="000269E3" w:rsidRPr="00BD011C" w:rsidRDefault="000269E3" w:rsidP="00FD6C9A">
            <w:pPr>
              <w:spacing w:before="120" w:after="120"/>
              <w:jc w:val="center"/>
              <w:rPr>
                <w:rFonts w:cs="Arial"/>
                <w:sz w:val="20"/>
              </w:rPr>
            </w:pPr>
          </w:p>
        </w:tc>
        <w:tc>
          <w:tcPr>
            <w:tcW w:w="659" w:type="dxa"/>
            <w:shd w:val="clear" w:color="auto" w:fill="FFFFFF"/>
          </w:tcPr>
          <w:p w14:paraId="39AAC7CB" w14:textId="77777777" w:rsidR="000269E3" w:rsidRPr="00BD011C" w:rsidRDefault="000269E3" w:rsidP="00FD6C9A">
            <w:pPr>
              <w:spacing w:before="120" w:after="120"/>
              <w:jc w:val="center"/>
              <w:rPr>
                <w:rFonts w:cs="Arial"/>
                <w:sz w:val="20"/>
              </w:rPr>
            </w:pPr>
          </w:p>
        </w:tc>
        <w:tc>
          <w:tcPr>
            <w:tcW w:w="3121" w:type="dxa"/>
            <w:shd w:val="clear" w:color="auto" w:fill="FFFFFF"/>
          </w:tcPr>
          <w:p w14:paraId="67BF8DF6" w14:textId="77777777" w:rsidR="000269E3" w:rsidRPr="00BD011C" w:rsidRDefault="000269E3" w:rsidP="00FD6C9A">
            <w:pPr>
              <w:spacing w:before="120" w:after="120"/>
              <w:jc w:val="center"/>
              <w:rPr>
                <w:rFonts w:cs="Arial"/>
                <w:sz w:val="20"/>
              </w:rPr>
            </w:pPr>
          </w:p>
        </w:tc>
      </w:tr>
      <w:tr w:rsidR="000269E3" w:rsidRPr="00BD011C" w14:paraId="0B6CFF9C" w14:textId="77777777" w:rsidTr="001A637D">
        <w:trPr>
          <w:cantSplit/>
          <w:trHeight w:val="403"/>
        </w:trPr>
        <w:tc>
          <w:tcPr>
            <w:tcW w:w="4233" w:type="dxa"/>
            <w:shd w:val="clear" w:color="auto" w:fill="FFFFFF"/>
          </w:tcPr>
          <w:p w14:paraId="73455679" w14:textId="3BF54F92" w:rsidR="000269E3" w:rsidRPr="00BD011C" w:rsidRDefault="000269E3" w:rsidP="00FD6C9A">
            <w:pPr>
              <w:spacing w:before="120" w:after="120"/>
              <w:rPr>
                <w:rFonts w:cs="Arial"/>
                <w:sz w:val="20"/>
              </w:rPr>
            </w:pPr>
            <w:r w:rsidRPr="00BD011C">
              <w:rPr>
                <w:rFonts w:cs="Arial"/>
                <w:sz w:val="20"/>
              </w:rPr>
              <w:t>Les documents corporatifs, contrats, baux, etc. qui existent</w:t>
            </w:r>
            <w:r w:rsidR="003D1CEF" w:rsidRPr="00BD011C">
              <w:rPr>
                <w:rFonts w:cs="Arial"/>
                <w:sz w:val="20"/>
              </w:rPr>
              <w:t xml:space="preserve">, ainsi que les exigences règlementaires, </w:t>
            </w:r>
            <w:r w:rsidRPr="00BD011C">
              <w:rPr>
                <w:rFonts w:cs="Arial"/>
                <w:sz w:val="20"/>
              </w:rPr>
              <w:t>ne doivent pas restreindre le transfert des biens. Cela a-t-il été vérifié?</w:t>
            </w:r>
          </w:p>
        </w:tc>
        <w:tc>
          <w:tcPr>
            <w:tcW w:w="628" w:type="dxa"/>
            <w:shd w:val="clear" w:color="auto" w:fill="FFFFFF"/>
          </w:tcPr>
          <w:p w14:paraId="4613476F" w14:textId="77777777" w:rsidR="000269E3" w:rsidRPr="00BD011C" w:rsidRDefault="000269E3" w:rsidP="00FD6C9A">
            <w:pPr>
              <w:spacing w:before="120" w:after="120"/>
              <w:jc w:val="center"/>
              <w:rPr>
                <w:rFonts w:cs="Arial"/>
                <w:sz w:val="20"/>
              </w:rPr>
            </w:pPr>
          </w:p>
        </w:tc>
        <w:tc>
          <w:tcPr>
            <w:tcW w:w="717" w:type="dxa"/>
            <w:shd w:val="clear" w:color="auto" w:fill="FFFFFF"/>
          </w:tcPr>
          <w:p w14:paraId="6CA84151" w14:textId="77777777" w:rsidR="000269E3" w:rsidRPr="00BD011C" w:rsidRDefault="000269E3" w:rsidP="00FD6C9A">
            <w:pPr>
              <w:spacing w:before="120" w:after="120"/>
              <w:jc w:val="center"/>
              <w:rPr>
                <w:rFonts w:cs="Arial"/>
                <w:sz w:val="20"/>
              </w:rPr>
            </w:pPr>
          </w:p>
        </w:tc>
        <w:tc>
          <w:tcPr>
            <w:tcW w:w="659" w:type="dxa"/>
            <w:shd w:val="clear" w:color="auto" w:fill="FFFFFF"/>
          </w:tcPr>
          <w:p w14:paraId="0DDEB205" w14:textId="77777777" w:rsidR="000269E3" w:rsidRPr="00BD011C" w:rsidRDefault="000269E3" w:rsidP="00FD6C9A">
            <w:pPr>
              <w:spacing w:before="120" w:after="120"/>
              <w:jc w:val="center"/>
              <w:rPr>
                <w:rFonts w:cs="Arial"/>
                <w:sz w:val="20"/>
              </w:rPr>
            </w:pPr>
          </w:p>
        </w:tc>
        <w:tc>
          <w:tcPr>
            <w:tcW w:w="3121" w:type="dxa"/>
            <w:shd w:val="clear" w:color="auto" w:fill="FFFFFF"/>
          </w:tcPr>
          <w:p w14:paraId="33602B61" w14:textId="77777777" w:rsidR="000269E3" w:rsidRPr="00BD011C" w:rsidRDefault="000269E3" w:rsidP="00FD6C9A">
            <w:pPr>
              <w:spacing w:before="120" w:after="120"/>
              <w:jc w:val="center"/>
              <w:rPr>
                <w:rFonts w:cs="Arial"/>
                <w:sz w:val="20"/>
              </w:rPr>
            </w:pPr>
          </w:p>
        </w:tc>
      </w:tr>
      <w:tr w:rsidR="000269E3" w:rsidRPr="00BD011C" w14:paraId="05550F46" w14:textId="77777777" w:rsidTr="001A637D">
        <w:trPr>
          <w:cantSplit/>
          <w:trHeight w:val="403"/>
        </w:trPr>
        <w:tc>
          <w:tcPr>
            <w:tcW w:w="4233" w:type="dxa"/>
            <w:shd w:val="clear" w:color="auto" w:fill="FFFFFF"/>
          </w:tcPr>
          <w:p w14:paraId="6F96AF34" w14:textId="77777777" w:rsidR="000269E3" w:rsidRPr="00BD011C" w:rsidRDefault="000269E3" w:rsidP="000451C4">
            <w:pPr>
              <w:spacing w:before="120" w:after="120"/>
              <w:rPr>
                <w:rFonts w:cs="Arial"/>
                <w:sz w:val="20"/>
              </w:rPr>
            </w:pPr>
            <w:r w:rsidRPr="00BD011C">
              <w:rPr>
                <w:rFonts w:cs="Arial"/>
                <w:sz w:val="20"/>
              </w:rPr>
              <w:t>Compte tenu des circonstances de détention, la nature des biens à transférer (biens amortissables, immobilisations, stocks) a-t-elle été déterminée?</w:t>
            </w:r>
          </w:p>
        </w:tc>
        <w:tc>
          <w:tcPr>
            <w:tcW w:w="628" w:type="dxa"/>
            <w:shd w:val="clear" w:color="auto" w:fill="FFFFFF"/>
          </w:tcPr>
          <w:p w14:paraId="02CC4C30" w14:textId="77777777" w:rsidR="000269E3" w:rsidRPr="00BD011C" w:rsidRDefault="000269E3" w:rsidP="00FD6C9A">
            <w:pPr>
              <w:spacing w:before="120" w:after="120"/>
              <w:jc w:val="center"/>
              <w:rPr>
                <w:rFonts w:cs="Arial"/>
                <w:sz w:val="20"/>
              </w:rPr>
            </w:pPr>
          </w:p>
        </w:tc>
        <w:tc>
          <w:tcPr>
            <w:tcW w:w="717" w:type="dxa"/>
            <w:shd w:val="clear" w:color="auto" w:fill="FFFFFF"/>
          </w:tcPr>
          <w:p w14:paraId="72938F4C" w14:textId="77777777" w:rsidR="000269E3" w:rsidRPr="00BD011C" w:rsidRDefault="000269E3" w:rsidP="00FD6C9A">
            <w:pPr>
              <w:spacing w:before="120" w:after="120"/>
              <w:jc w:val="center"/>
              <w:rPr>
                <w:rFonts w:cs="Arial"/>
                <w:sz w:val="20"/>
              </w:rPr>
            </w:pPr>
          </w:p>
        </w:tc>
        <w:tc>
          <w:tcPr>
            <w:tcW w:w="659" w:type="dxa"/>
            <w:shd w:val="clear" w:color="auto" w:fill="FFFFFF"/>
          </w:tcPr>
          <w:p w14:paraId="21ED49DB" w14:textId="77777777" w:rsidR="000269E3" w:rsidRPr="00BD011C" w:rsidRDefault="000269E3" w:rsidP="00FD6C9A">
            <w:pPr>
              <w:spacing w:before="120" w:after="120"/>
              <w:jc w:val="center"/>
              <w:rPr>
                <w:rFonts w:cs="Arial"/>
                <w:sz w:val="20"/>
              </w:rPr>
            </w:pPr>
          </w:p>
        </w:tc>
        <w:tc>
          <w:tcPr>
            <w:tcW w:w="3121" w:type="dxa"/>
            <w:shd w:val="clear" w:color="auto" w:fill="FFFFFF"/>
          </w:tcPr>
          <w:p w14:paraId="273708B0" w14:textId="77777777" w:rsidR="000269E3" w:rsidRPr="00BD011C" w:rsidRDefault="000269E3" w:rsidP="00FD6C9A">
            <w:pPr>
              <w:spacing w:before="120" w:after="120"/>
              <w:jc w:val="center"/>
              <w:rPr>
                <w:rFonts w:cs="Arial"/>
                <w:sz w:val="20"/>
              </w:rPr>
            </w:pPr>
          </w:p>
        </w:tc>
      </w:tr>
      <w:tr w:rsidR="000269E3" w:rsidRPr="00BD011C" w14:paraId="65B883DF" w14:textId="77777777" w:rsidTr="001A637D">
        <w:trPr>
          <w:cantSplit/>
          <w:trHeight w:val="403"/>
        </w:trPr>
        <w:tc>
          <w:tcPr>
            <w:tcW w:w="4233" w:type="dxa"/>
            <w:shd w:val="clear" w:color="auto" w:fill="FFFFFF"/>
          </w:tcPr>
          <w:p w14:paraId="2B37A0E9" w14:textId="77777777" w:rsidR="000269E3" w:rsidRPr="00BD011C" w:rsidRDefault="000269E3" w:rsidP="00FD6C9A">
            <w:pPr>
              <w:pStyle w:val="123"/>
              <w:spacing w:before="120" w:after="120"/>
              <w:rPr>
                <w:rFonts w:ascii="Arial" w:hAnsi="Arial" w:cs="Arial"/>
                <w:snapToGrid/>
              </w:rPr>
            </w:pPr>
            <w:r w:rsidRPr="00BD011C">
              <w:rPr>
                <w:rFonts w:ascii="Arial" w:hAnsi="Arial" w:cs="Arial"/>
                <w:snapToGrid/>
              </w:rPr>
              <w:t xml:space="preserve">Les biens </w:t>
            </w:r>
            <w:r w:rsidR="00791526" w:rsidRPr="00BD011C">
              <w:rPr>
                <w:rFonts w:ascii="Arial" w:hAnsi="Arial" w:cs="Arial"/>
                <w:snapToGrid/>
              </w:rPr>
              <w:t xml:space="preserve">qui doivent être cédés </w:t>
            </w:r>
            <w:r w:rsidRPr="00BD011C">
              <w:rPr>
                <w:rFonts w:ascii="Arial" w:hAnsi="Arial" w:cs="Arial"/>
                <w:snapToGrid/>
              </w:rPr>
              <w:t>constituent-ils des biens admissibles?</w:t>
            </w:r>
          </w:p>
          <w:p w14:paraId="1024D221" w14:textId="617D6ADB" w:rsidR="000269E3" w:rsidRPr="00BD011C" w:rsidRDefault="000269E3" w:rsidP="00FD6C9A">
            <w:pPr>
              <w:spacing w:before="120" w:after="120"/>
              <w:rPr>
                <w:rFonts w:cs="Arial"/>
                <w:sz w:val="20"/>
              </w:rPr>
            </w:pPr>
            <w:r w:rsidRPr="00BD011C">
              <w:rPr>
                <w:rFonts w:cs="Arial"/>
                <w:sz w:val="20"/>
              </w:rPr>
              <w:t>(</w:t>
            </w:r>
            <w:r w:rsidRPr="00BD011C">
              <w:rPr>
                <w:rFonts w:cs="Arial"/>
                <w:i/>
                <w:sz w:val="20"/>
              </w:rPr>
              <w:t xml:space="preserve">Voir </w:t>
            </w:r>
            <w:r w:rsidR="00791526" w:rsidRPr="00BD011C">
              <w:rPr>
                <w:rFonts w:cs="Arial"/>
                <w:i/>
                <w:sz w:val="20"/>
              </w:rPr>
              <w:t>paragraphe</w:t>
            </w:r>
            <w:r w:rsidR="0095557E">
              <w:rPr>
                <w:rFonts w:cs="Arial"/>
                <w:i/>
                <w:sz w:val="20"/>
              </w:rPr>
              <w:t> </w:t>
            </w:r>
            <w:r w:rsidRPr="00BD011C">
              <w:rPr>
                <w:rFonts w:cs="Arial"/>
                <w:i/>
                <w:sz w:val="20"/>
              </w:rPr>
              <w:t>85(1.1) de la LIR</w:t>
            </w:r>
            <w:r w:rsidRPr="00BD011C">
              <w:rPr>
                <w:rFonts w:cs="Arial"/>
                <w:sz w:val="20"/>
              </w:rPr>
              <w:t>)</w:t>
            </w:r>
          </w:p>
        </w:tc>
        <w:tc>
          <w:tcPr>
            <w:tcW w:w="628" w:type="dxa"/>
            <w:shd w:val="clear" w:color="auto" w:fill="FFFFFF"/>
          </w:tcPr>
          <w:p w14:paraId="6F9DFA67" w14:textId="77777777" w:rsidR="000269E3" w:rsidRPr="00BD011C" w:rsidRDefault="000269E3" w:rsidP="00FD6C9A">
            <w:pPr>
              <w:spacing w:before="120" w:after="120"/>
              <w:jc w:val="center"/>
              <w:rPr>
                <w:rFonts w:cs="Arial"/>
                <w:sz w:val="20"/>
              </w:rPr>
            </w:pPr>
          </w:p>
        </w:tc>
        <w:tc>
          <w:tcPr>
            <w:tcW w:w="717" w:type="dxa"/>
            <w:shd w:val="clear" w:color="auto" w:fill="FFFFFF"/>
          </w:tcPr>
          <w:p w14:paraId="1A9C2706" w14:textId="77777777" w:rsidR="000269E3" w:rsidRPr="00BD011C" w:rsidRDefault="000269E3" w:rsidP="00FD6C9A">
            <w:pPr>
              <w:spacing w:before="120" w:after="120"/>
              <w:jc w:val="center"/>
              <w:rPr>
                <w:rFonts w:cs="Arial"/>
                <w:sz w:val="20"/>
              </w:rPr>
            </w:pPr>
          </w:p>
        </w:tc>
        <w:tc>
          <w:tcPr>
            <w:tcW w:w="659" w:type="dxa"/>
            <w:shd w:val="clear" w:color="auto" w:fill="FFFFFF"/>
          </w:tcPr>
          <w:p w14:paraId="7391D057" w14:textId="77777777" w:rsidR="000269E3" w:rsidRPr="00BD011C" w:rsidRDefault="000269E3" w:rsidP="00FD6C9A">
            <w:pPr>
              <w:spacing w:before="120" w:after="120"/>
              <w:jc w:val="center"/>
              <w:rPr>
                <w:rFonts w:cs="Arial"/>
                <w:sz w:val="20"/>
              </w:rPr>
            </w:pPr>
          </w:p>
        </w:tc>
        <w:tc>
          <w:tcPr>
            <w:tcW w:w="3121" w:type="dxa"/>
            <w:shd w:val="clear" w:color="auto" w:fill="FFFFFF"/>
          </w:tcPr>
          <w:p w14:paraId="3BF29E87" w14:textId="77777777" w:rsidR="000269E3" w:rsidRPr="00BD011C" w:rsidRDefault="000269E3" w:rsidP="00FD6C9A">
            <w:pPr>
              <w:spacing w:before="120" w:after="120"/>
              <w:jc w:val="center"/>
              <w:rPr>
                <w:rFonts w:cs="Arial"/>
                <w:sz w:val="20"/>
              </w:rPr>
            </w:pPr>
          </w:p>
        </w:tc>
      </w:tr>
      <w:tr w:rsidR="000269E3" w:rsidRPr="00BD011C" w14:paraId="78FAC5F4" w14:textId="77777777" w:rsidTr="001A637D">
        <w:trPr>
          <w:cantSplit/>
          <w:trHeight w:val="403"/>
        </w:trPr>
        <w:tc>
          <w:tcPr>
            <w:tcW w:w="4233" w:type="dxa"/>
            <w:shd w:val="clear" w:color="auto" w:fill="FFFFFF"/>
          </w:tcPr>
          <w:p w14:paraId="72A7F240" w14:textId="4B13413A" w:rsidR="000269E3" w:rsidRPr="00BD011C" w:rsidRDefault="000269E3" w:rsidP="00FD6C9A">
            <w:pPr>
              <w:pStyle w:val="123"/>
              <w:spacing w:before="120" w:after="120"/>
              <w:rPr>
                <w:rFonts w:ascii="Arial" w:hAnsi="Arial" w:cs="Arial"/>
                <w:snapToGrid/>
              </w:rPr>
            </w:pPr>
            <w:r w:rsidRPr="00BD011C">
              <w:rPr>
                <w:rFonts w:ascii="Arial" w:hAnsi="Arial" w:cs="Arial"/>
                <w:snapToGrid/>
              </w:rPr>
              <w:t xml:space="preserve">Les biens sont-ils </w:t>
            </w:r>
            <w:r w:rsidR="00791526" w:rsidRPr="00BD011C">
              <w:rPr>
                <w:rFonts w:ascii="Arial" w:hAnsi="Arial" w:cs="Arial"/>
                <w:snapToGrid/>
              </w:rPr>
              <w:t xml:space="preserve">cédés </w:t>
            </w:r>
            <w:r w:rsidRPr="00BD011C">
              <w:rPr>
                <w:rFonts w:ascii="Arial" w:hAnsi="Arial" w:cs="Arial"/>
                <w:snapToGrid/>
              </w:rPr>
              <w:t>en faveur d</w:t>
            </w:r>
            <w:r w:rsidR="0095557E">
              <w:rPr>
                <w:rFonts w:ascii="Arial" w:hAnsi="Arial" w:cs="Arial"/>
                <w:snapToGrid/>
              </w:rPr>
              <w:t>’</w:t>
            </w:r>
            <w:r w:rsidRPr="00BD011C">
              <w:rPr>
                <w:rFonts w:ascii="Arial" w:hAnsi="Arial" w:cs="Arial"/>
                <w:snapToGrid/>
              </w:rPr>
              <w:t>une société canadienne imposable?</w:t>
            </w:r>
          </w:p>
          <w:p w14:paraId="30058533" w14:textId="26679B15" w:rsidR="000269E3" w:rsidRPr="00BD011C" w:rsidRDefault="000269E3" w:rsidP="00FD6C9A">
            <w:pPr>
              <w:spacing w:before="120" w:after="120"/>
              <w:rPr>
                <w:rFonts w:cs="Arial"/>
                <w:sz w:val="20"/>
              </w:rPr>
            </w:pPr>
            <w:r w:rsidRPr="00BD011C">
              <w:rPr>
                <w:rFonts w:cs="Arial"/>
                <w:sz w:val="20"/>
              </w:rPr>
              <w:t>(</w:t>
            </w:r>
            <w:r w:rsidRPr="00BD011C">
              <w:rPr>
                <w:rFonts w:cs="Arial"/>
                <w:i/>
                <w:sz w:val="20"/>
              </w:rPr>
              <w:t xml:space="preserve">Voir </w:t>
            </w:r>
            <w:r w:rsidR="00791526" w:rsidRPr="00BD011C">
              <w:rPr>
                <w:rFonts w:cs="Arial"/>
                <w:i/>
                <w:sz w:val="20"/>
              </w:rPr>
              <w:t>paragraphe</w:t>
            </w:r>
            <w:r w:rsidR="0095557E">
              <w:rPr>
                <w:rFonts w:cs="Arial"/>
                <w:i/>
                <w:sz w:val="20"/>
              </w:rPr>
              <w:t> </w:t>
            </w:r>
            <w:r w:rsidRPr="00BD011C">
              <w:rPr>
                <w:rFonts w:cs="Arial"/>
                <w:i/>
                <w:sz w:val="20"/>
              </w:rPr>
              <w:t>89(1) de la LIR et article</w:t>
            </w:r>
            <w:r w:rsidR="0095557E">
              <w:rPr>
                <w:rFonts w:cs="Arial"/>
                <w:i/>
                <w:sz w:val="20"/>
              </w:rPr>
              <w:t> </w:t>
            </w:r>
            <w:r w:rsidRPr="00BD011C">
              <w:rPr>
                <w:rFonts w:cs="Arial"/>
                <w:i/>
                <w:sz w:val="20"/>
              </w:rPr>
              <w:t>570 de la LI</w:t>
            </w:r>
            <w:r w:rsidRPr="00BD011C">
              <w:rPr>
                <w:rFonts w:cs="Arial"/>
                <w:sz w:val="20"/>
              </w:rPr>
              <w:t>)</w:t>
            </w:r>
            <w:r w:rsidR="003D1CEF" w:rsidRPr="00BD011C">
              <w:rPr>
                <w:rFonts w:cs="Arial"/>
                <w:sz w:val="20"/>
              </w:rPr>
              <w:t xml:space="preserve"> À noter que les règles prévues pour le transfert de biens à une société canadienne imposable s’appliquent également, à quelques différences près, au transfert de biens à une société de personnes canadienne (voir paragraphe</w:t>
            </w:r>
            <w:r w:rsidR="0095557E">
              <w:rPr>
                <w:rFonts w:cs="Arial"/>
                <w:sz w:val="20"/>
              </w:rPr>
              <w:t> </w:t>
            </w:r>
            <w:r w:rsidR="003D1CEF" w:rsidRPr="00BD011C">
              <w:rPr>
                <w:rFonts w:cs="Arial"/>
                <w:sz w:val="20"/>
              </w:rPr>
              <w:t>97(2) de la LIR et article</w:t>
            </w:r>
            <w:r w:rsidR="0095557E">
              <w:rPr>
                <w:rFonts w:cs="Arial"/>
                <w:sz w:val="20"/>
              </w:rPr>
              <w:t> </w:t>
            </w:r>
            <w:r w:rsidR="003D1CEF" w:rsidRPr="00BD011C">
              <w:rPr>
                <w:rFonts w:cs="Arial"/>
                <w:sz w:val="20"/>
              </w:rPr>
              <w:t>614 de la LI)</w:t>
            </w:r>
            <w:r w:rsidR="001A637D" w:rsidRPr="00BD011C">
              <w:rPr>
                <w:rFonts w:cs="Arial"/>
                <w:sz w:val="20"/>
              </w:rPr>
              <w:t>.</w:t>
            </w:r>
          </w:p>
        </w:tc>
        <w:tc>
          <w:tcPr>
            <w:tcW w:w="628" w:type="dxa"/>
            <w:shd w:val="clear" w:color="auto" w:fill="FFFFFF"/>
          </w:tcPr>
          <w:p w14:paraId="5ED3CA6B" w14:textId="77777777" w:rsidR="000269E3" w:rsidRPr="00BD011C" w:rsidRDefault="000269E3" w:rsidP="00FD6C9A">
            <w:pPr>
              <w:spacing w:before="120" w:after="120"/>
              <w:jc w:val="center"/>
              <w:rPr>
                <w:rFonts w:cs="Arial"/>
                <w:sz w:val="20"/>
              </w:rPr>
            </w:pPr>
          </w:p>
        </w:tc>
        <w:tc>
          <w:tcPr>
            <w:tcW w:w="717" w:type="dxa"/>
            <w:shd w:val="clear" w:color="auto" w:fill="FFFFFF"/>
          </w:tcPr>
          <w:p w14:paraId="7E09635A" w14:textId="77777777" w:rsidR="000269E3" w:rsidRPr="00BD011C" w:rsidRDefault="000269E3" w:rsidP="00FD6C9A">
            <w:pPr>
              <w:spacing w:before="120" w:after="120"/>
              <w:jc w:val="center"/>
              <w:rPr>
                <w:rFonts w:cs="Arial"/>
                <w:sz w:val="20"/>
              </w:rPr>
            </w:pPr>
          </w:p>
        </w:tc>
        <w:tc>
          <w:tcPr>
            <w:tcW w:w="659" w:type="dxa"/>
            <w:shd w:val="clear" w:color="auto" w:fill="FFFFFF"/>
          </w:tcPr>
          <w:p w14:paraId="493576E5" w14:textId="77777777" w:rsidR="000269E3" w:rsidRPr="00BD011C" w:rsidRDefault="000269E3" w:rsidP="00FD6C9A">
            <w:pPr>
              <w:spacing w:before="120" w:after="120"/>
              <w:jc w:val="center"/>
              <w:rPr>
                <w:rFonts w:cs="Arial"/>
                <w:sz w:val="20"/>
              </w:rPr>
            </w:pPr>
          </w:p>
        </w:tc>
        <w:tc>
          <w:tcPr>
            <w:tcW w:w="3121" w:type="dxa"/>
            <w:shd w:val="clear" w:color="auto" w:fill="FFFFFF"/>
          </w:tcPr>
          <w:p w14:paraId="231F0B21" w14:textId="77777777" w:rsidR="000269E3" w:rsidRPr="00BD011C" w:rsidRDefault="000269E3" w:rsidP="00FD6C9A">
            <w:pPr>
              <w:spacing w:before="120" w:after="120"/>
              <w:jc w:val="center"/>
              <w:rPr>
                <w:rFonts w:cs="Arial"/>
                <w:sz w:val="20"/>
              </w:rPr>
            </w:pPr>
          </w:p>
        </w:tc>
      </w:tr>
      <w:tr w:rsidR="000269E3" w:rsidRPr="00BD011C" w14:paraId="428597B4" w14:textId="77777777" w:rsidTr="001A637D">
        <w:trPr>
          <w:cantSplit/>
          <w:trHeight w:val="403"/>
        </w:trPr>
        <w:tc>
          <w:tcPr>
            <w:tcW w:w="4233" w:type="dxa"/>
            <w:shd w:val="clear" w:color="auto" w:fill="FFFFFF"/>
          </w:tcPr>
          <w:p w14:paraId="47892118" w14:textId="77777777" w:rsidR="000269E3" w:rsidRPr="00BD011C" w:rsidRDefault="000269E3" w:rsidP="00FD6C9A">
            <w:pPr>
              <w:pStyle w:val="123"/>
              <w:spacing w:before="120" w:after="120"/>
              <w:rPr>
                <w:rFonts w:ascii="Arial" w:hAnsi="Arial" w:cs="Arial"/>
                <w:snapToGrid/>
              </w:rPr>
            </w:pPr>
            <w:r w:rsidRPr="00BD011C">
              <w:rPr>
                <w:rFonts w:ascii="Arial" w:hAnsi="Arial" w:cs="Arial"/>
                <w:snapToGrid/>
              </w:rPr>
              <w:t xml:space="preserve">Une ou des actions du cessionnaire est ou sont-elles </w:t>
            </w:r>
            <w:proofErr w:type="gramStart"/>
            <w:r w:rsidRPr="00BD011C">
              <w:rPr>
                <w:rFonts w:ascii="Arial" w:hAnsi="Arial" w:cs="Arial"/>
                <w:snapToGrid/>
              </w:rPr>
              <w:t>émise</w:t>
            </w:r>
            <w:proofErr w:type="gramEnd"/>
            <w:r w:rsidRPr="00BD011C">
              <w:rPr>
                <w:rFonts w:ascii="Arial" w:hAnsi="Arial" w:cs="Arial"/>
                <w:snapToGrid/>
              </w:rPr>
              <w:t>(s) en contrepartie du transfert</w:t>
            </w:r>
            <w:r w:rsidR="003D1CEF" w:rsidRPr="00BD011C">
              <w:rPr>
                <w:rFonts w:ascii="Arial" w:hAnsi="Arial" w:cs="Arial"/>
              </w:rPr>
              <w:t xml:space="preserve"> </w:t>
            </w:r>
            <w:r w:rsidR="003D1CEF" w:rsidRPr="00BD011C">
              <w:rPr>
                <w:rFonts w:ascii="Arial" w:hAnsi="Arial" w:cs="Arial"/>
                <w:snapToGrid/>
              </w:rPr>
              <w:t>de chaque bien</w:t>
            </w:r>
            <w:r w:rsidRPr="00BD011C">
              <w:rPr>
                <w:rFonts w:ascii="Arial" w:hAnsi="Arial" w:cs="Arial"/>
                <w:snapToGrid/>
              </w:rPr>
              <w:t>?</w:t>
            </w:r>
          </w:p>
          <w:p w14:paraId="72C76E82" w14:textId="19865203" w:rsidR="000269E3" w:rsidRPr="00BD011C" w:rsidRDefault="000269E3" w:rsidP="00FD6C9A">
            <w:pPr>
              <w:spacing w:before="120" w:after="120"/>
              <w:rPr>
                <w:rFonts w:cs="Arial"/>
                <w:sz w:val="20"/>
              </w:rPr>
            </w:pPr>
            <w:r w:rsidRPr="00BD011C">
              <w:rPr>
                <w:rFonts w:cs="Arial"/>
                <w:sz w:val="20"/>
              </w:rPr>
              <w:t>(</w:t>
            </w:r>
            <w:r w:rsidRPr="00BD011C">
              <w:rPr>
                <w:rFonts w:cs="Arial"/>
                <w:i/>
                <w:sz w:val="20"/>
              </w:rPr>
              <w:t xml:space="preserve">Voir </w:t>
            </w:r>
            <w:r w:rsidR="00791526" w:rsidRPr="00BD011C">
              <w:rPr>
                <w:rFonts w:cs="Arial"/>
                <w:i/>
                <w:sz w:val="20"/>
              </w:rPr>
              <w:t>paragraphe</w:t>
            </w:r>
            <w:r w:rsidR="0095557E">
              <w:rPr>
                <w:rFonts w:cs="Arial"/>
                <w:i/>
                <w:sz w:val="20"/>
              </w:rPr>
              <w:t> </w:t>
            </w:r>
            <w:r w:rsidRPr="00BD011C">
              <w:rPr>
                <w:rFonts w:cs="Arial"/>
                <w:i/>
                <w:sz w:val="20"/>
              </w:rPr>
              <w:t>85(1) de la LIR et article</w:t>
            </w:r>
            <w:r w:rsidR="0095557E">
              <w:rPr>
                <w:rFonts w:cs="Arial"/>
                <w:i/>
                <w:sz w:val="20"/>
              </w:rPr>
              <w:t> </w:t>
            </w:r>
            <w:r w:rsidRPr="00BD011C">
              <w:rPr>
                <w:rFonts w:cs="Arial"/>
                <w:i/>
                <w:sz w:val="20"/>
              </w:rPr>
              <w:t>518 de la LI</w:t>
            </w:r>
            <w:r w:rsidRPr="00BD011C">
              <w:rPr>
                <w:rFonts w:cs="Arial"/>
                <w:sz w:val="20"/>
              </w:rPr>
              <w:t>)</w:t>
            </w:r>
          </w:p>
        </w:tc>
        <w:tc>
          <w:tcPr>
            <w:tcW w:w="628" w:type="dxa"/>
            <w:shd w:val="clear" w:color="auto" w:fill="FFFFFF"/>
          </w:tcPr>
          <w:p w14:paraId="67E7546E" w14:textId="77777777" w:rsidR="000269E3" w:rsidRPr="00BD011C" w:rsidRDefault="000269E3" w:rsidP="00FD6C9A">
            <w:pPr>
              <w:spacing w:before="120" w:after="120"/>
              <w:jc w:val="center"/>
              <w:rPr>
                <w:rFonts w:cs="Arial"/>
                <w:sz w:val="20"/>
              </w:rPr>
            </w:pPr>
          </w:p>
        </w:tc>
        <w:tc>
          <w:tcPr>
            <w:tcW w:w="717" w:type="dxa"/>
            <w:shd w:val="clear" w:color="auto" w:fill="FFFFFF"/>
          </w:tcPr>
          <w:p w14:paraId="309EECAF" w14:textId="77777777" w:rsidR="000269E3" w:rsidRPr="00BD011C" w:rsidRDefault="000269E3" w:rsidP="00FD6C9A">
            <w:pPr>
              <w:spacing w:before="120" w:after="120"/>
              <w:jc w:val="center"/>
              <w:rPr>
                <w:rFonts w:cs="Arial"/>
                <w:sz w:val="20"/>
              </w:rPr>
            </w:pPr>
          </w:p>
        </w:tc>
        <w:tc>
          <w:tcPr>
            <w:tcW w:w="659" w:type="dxa"/>
            <w:shd w:val="clear" w:color="auto" w:fill="FFFFFF"/>
          </w:tcPr>
          <w:p w14:paraId="5BEABE8E" w14:textId="77777777" w:rsidR="000269E3" w:rsidRPr="00BD011C" w:rsidRDefault="000269E3" w:rsidP="00FD6C9A">
            <w:pPr>
              <w:spacing w:before="120" w:after="120"/>
              <w:jc w:val="center"/>
              <w:rPr>
                <w:rFonts w:cs="Arial"/>
                <w:sz w:val="20"/>
              </w:rPr>
            </w:pPr>
          </w:p>
        </w:tc>
        <w:tc>
          <w:tcPr>
            <w:tcW w:w="3121" w:type="dxa"/>
            <w:shd w:val="clear" w:color="auto" w:fill="FFFFFF"/>
          </w:tcPr>
          <w:p w14:paraId="579D2447" w14:textId="77777777" w:rsidR="000269E3" w:rsidRPr="00BD011C" w:rsidRDefault="000269E3" w:rsidP="00FD6C9A">
            <w:pPr>
              <w:spacing w:before="120" w:after="120"/>
              <w:jc w:val="center"/>
              <w:rPr>
                <w:rFonts w:cs="Arial"/>
                <w:sz w:val="20"/>
              </w:rPr>
            </w:pPr>
          </w:p>
        </w:tc>
      </w:tr>
      <w:tr w:rsidR="004078CB" w:rsidRPr="00BD011C" w14:paraId="59E92AD2" w14:textId="77777777" w:rsidTr="001A637D">
        <w:trPr>
          <w:cantSplit/>
          <w:trHeight w:val="403"/>
        </w:trPr>
        <w:tc>
          <w:tcPr>
            <w:tcW w:w="4233" w:type="dxa"/>
            <w:shd w:val="clear" w:color="auto" w:fill="FFFFFF"/>
          </w:tcPr>
          <w:p w14:paraId="1A199B0D" w14:textId="77777777" w:rsidR="004078CB" w:rsidRDefault="004078CB" w:rsidP="00FD6C9A">
            <w:pPr>
              <w:pStyle w:val="123"/>
              <w:spacing w:before="120" w:after="120"/>
              <w:rPr>
                <w:rFonts w:ascii="Arial" w:hAnsi="Arial" w:cs="Arial"/>
                <w:snapToGrid/>
              </w:rPr>
            </w:pPr>
            <w:r>
              <w:rPr>
                <w:rFonts w:ascii="Arial" w:hAnsi="Arial" w:cs="Arial"/>
                <w:snapToGrid/>
              </w:rPr>
              <w:lastRenderedPageBreak/>
              <w:t>Le cédant et le cessionnaire ont-ils fait le choix sur les formulaires prescrits et dans les délais prescrits?</w:t>
            </w:r>
          </w:p>
          <w:p w14:paraId="635E0036" w14:textId="77777777" w:rsidR="004078CB" w:rsidRDefault="004078CB" w:rsidP="00FD6C9A">
            <w:pPr>
              <w:pStyle w:val="123"/>
              <w:spacing w:before="120" w:after="120"/>
              <w:rPr>
                <w:rFonts w:ascii="Arial" w:hAnsi="Arial" w:cs="Arial"/>
                <w:snapToGrid/>
              </w:rPr>
            </w:pPr>
            <w:r>
              <w:rPr>
                <w:rFonts w:ascii="Arial" w:hAnsi="Arial" w:cs="Arial"/>
                <w:snapToGrid/>
              </w:rPr>
              <w:t>Formulaires prescrits : TP-2057 et TP-518</w:t>
            </w:r>
          </w:p>
          <w:p w14:paraId="283B0431" w14:textId="77777777" w:rsidR="004078CB" w:rsidRPr="00BD011C" w:rsidRDefault="004078CB" w:rsidP="00FD6C9A">
            <w:pPr>
              <w:pStyle w:val="123"/>
              <w:spacing w:before="120" w:after="120"/>
              <w:rPr>
                <w:rFonts w:ascii="Arial" w:hAnsi="Arial" w:cs="Arial"/>
                <w:snapToGrid/>
              </w:rPr>
            </w:pPr>
            <w:r>
              <w:rPr>
                <w:rFonts w:ascii="Arial" w:hAnsi="Arial" w:cs="Arial"/>
                <w:snapToGrid/>
              </w:rPr>
              <w:t>Délais prescrit : La première des dates auxquelles le cédant ou le cessionnaire doivent produire leurs déclarations de revenus</w:t>
            </w:r>
          </w:p>
        </w:tc>
        <w:tc>
          <w:tcPr>
            <w:tcW w:w="628" w:type="dxa"/>
            <w:shd w:val="clear" w:color="auto" w:fill="FFFFFF"/>
          </w:tcPr>
          <w:p w14:paraId="7B1C86D7" w14:textId="77777777" w:rsidR="004078CB" w:rsidRPr="00BD011C" w:rsidRDefault="004078CB" w:rsidP="00FD6C9A">
            <w:pPr>
              <w:spacing w:before="120" w:after="120"/>
              <w:jc w:val="center"/>
              <w:rPr>
                <w:rFonts w:cs="Arial"/>
                <w:sz w:val="20"/>
              </w:rPr>
            </w:pPr>
          </w:p>
        </w:tc>
        <w:tc>
          <w:tcPr>
            <w:tcW w:w="717" w:type="dxa"/>
            <w:shd w:val="clear" w:color="auto" w:fill="FFFFFF"/>
          </w:tcPr>
          <w:p w14:paraId="106DEB68" w14:textId="77777777" w:rsidR="004078CB" w:rsidRPr="00BD011C" w:rsidRDefault="004078CB" w:rsidP="00FD6C9A">
            <w:pPr>
              <w:spacing w:before="120" w:after="120"/>
              <w:jc w:val="center"/>
              <w:rPr>
                <w:rFonts w:cs="Arial"/>
                <w:sz w:val="20"/>
              </w:rPr>
            </w:pPr>
          </w:p>
        </w:tc>
        <w:tc>
          <w:tcPr>
            <w:tcW w:w="659" w:type="dxa"/>
            <w:shd w:val="clear" w:color="auto" w:fill="FFFFFF"/>
          </w:tcPr>
          <w:p w14:paraId="63ECADA6" w14:textId="77777777" w:rsidR="004078CB" w:rsidRPr="00BD011C" w:rsidRDefault="004078CB" w:rsidP="00FD6C9A">
            <w:pPr>
              <w:spacing w:before="120" w:after="120"/>
              <w:jc w:val="center"/>
              <w:rPr>
                <w:rFonts w:cs="Arial"/>
                <w:sz w:val="20"/>
              </w:rPr>
            </w:pPr>
          </w:p>
        </w:tc>
        <w:tc>
          <w:tcPr>
            <w:tcW w:w="3121" w:type="dxa"/>
            <w:shd w:val="clear" w:color="auto" w:fill="FFFFFF"/>
          </w:tcPr>
          <w:p w14:paraId="09CEB457" w14:textId="77777777" w:rsidR="004078CB" w:rsidRPr="00BD011C" w:rsidRDefault="004078CB" w:rsidP="00FD6C9A">
            <w:pPr>
              <w:spacing w:before="120" w:after="120"/>
              <w:jc w:val="center"/>
              <w:rPr>
                <w:rFonts w:cs="Arial"/>
                <w:sz w:val="20"/>
              </w:rPr>
            </w:pPr>
          </w:p>
        </w:tc>
      </w:tr>
      <w:tr w:rsidR="000269E3" w:rsidRPr="00BD011C" w14:paraId="180BFC5A" w14:textId="77777777" w:rsidTr="001A637D">
        <w:trPr>
          <w:cantSplit/>
          <w:trHeight w:val="403"/>
        </w:trPr>
        <w:tc>
          <w:tcPr>
            <w:tcW w:w="4233" w:type="dxa"/>
            <w:shd w:val="clear" w:color="auto" w:fill="FFFFFF"/>
          </w:tcPr>
          <w:p w14:paraId="611CA37D" w14:textId="0D3414A4" w:rsidR="000269E3" w:rsidRPr="00BD011C" w:rsidRDefault="000269E3" w:rsidP="00FD6C9A">
            <w:pPr>
              <w:pStyle w:val="123"/>
              <w:spacing w:before="120" w:after="120"/>
              <w:rPr>
                <w:rFonts w:ascii="Arial" w:hAnsi="Arial" w:cs="Arial"/>
                <w:snapToGrid/>
              </w:rPr>
            </w:pPr>
            <w:r w:rsidRPr="00BD011C">
              <w:rPr>
                <w:rFonts w:ascii="Arial" w:hAnsi="Arial" w:cs="Arial"/>
                <w:snapToGrid/>
              </w:rPr>
              <w:t>Pour les comptes à recevoir, l</w:t>
            </w:r>
            <w:r w:rsidR="0095557E">
              <w:rPr>
                <w:rFonts w:ascii="Arial" w:hAnsi="Arial" w:cs="Arial"/>
                <w:snapToGrid/>
              </w:rPr>
              <w:t>’</w:t>
            </w:r>
            <w:r w:rsidRPr="00BD011C">
              <w:rPr>
                <w:rFonts w:ascii="Arial" w:hAnsi="Arial" w:cs="Arial"/>
                <w:snapToGrid/>
              </w:rPr>
              <w:t xml:space="preserve">exercice du choix </w:t>
            </w:r>
            <w:r w:rsidR="00D44DD0" w:rsidRPr="00BD011C">
              <w:rPr>
                <w:rFonts w:ascii="Arial" w:hAnsi="Arial" w:cs="Arial"/>
                <w:snapToGrid/>
              </w:rPr>
              <w:t xml:space="preserve">relatif à la </w:t>
            </w:r>
            <w:r w:rsidR="00DF4E34" w:rsidRPr="00BD011C">
              <w:rPr>
                <w:rFonts w:ascii="Arial" w:hAnsi="Arial" w:cs="Arial"/>
                <w:snapToGrid/>
              </w:rPr>
              <w:t>cession</w:t>
            </w:r>
            <w:r w:rsidRPr="00BD011C">
              <w:rPr>
                <w:rFonts w:ascii="Arial" w:hAnsi="Arial" w:cs="Arial"/>
                <w:snapToGrid/>
              </w:rPr>
              <w:t xml:space="preserve"> de créance</w:t>
            </w:r>
            <w:r w:rsidR="00D44DD0" w:rsidRPr="00BD011C">
              <w:rPr>
                <w:rFonts w:ascii="Arial" w:hAnsi="Arial" w:cs="Arial"/>
                <w:snapToGrid/>
              </w:rPr>
              <w:t>s</w:t>
            </w:r>
            <w:r w:rsidRPr="00BD011C">
              <w:rPr>
                <w:rFonts w:ascii="Arial" w:hAnsi="Arial" w:cs="Arial"/>
                <w:snapToGrid/>
              </w:rPr>
              <w:t xml:space="preserve"> a-t-il été considéré?</w:t>
            </w:r>
          </w:p>
          <w:p w14:paraId="22B8CD27" w14:textId="70E0AA31" w:rsidR="000269E3" w:rsidRPr="00BD011C" w:rsidRDefault="000269E3" w:rsidP="00FD6C9A">
            <w:pPr>
              <w:pStyle w:val="123"/>
              <w:spacing w:before="120" w:after="120"/>
              <w:rPr>
                <w:rFonts w:ascii="Arial" w:hAnsi="Arial" w:cs="Arial"/>
                <w:i/>
                <w:snapToGrid/>
              </w:rPr>
            </w:pPr>
            <w:r w:rsidRPr="00BD011C">
              <w:rPr>
                <w:rFonts w:ascii="Arial" w:hAnsi="Arial" w:cs="Arial"/>
                <w:i/>
                <w:snapToGrid/>
              </w:rPr>
              <w:t>(Voir article</w:t>
            </w:r>
            <w:r w:rsidR="0095557E">
              <w:rPr>
                <w:rFonts w:ascii="Arial" w:hAnsi="Arial" w:cs="Arial"/>
                <w:i/>
                <w:snapToGrid/>
              </w:rPr>
              <w:t> </w:t>
            </w:r>
            <w:r w:rsidRPr="00BD011C">
              <w:rPr>
                <w:rFonts w:ascii="Arial" w:hAnsi="Arial" w:cs="Arial"/>
                <w:i/>
                <w:snapToGrid/>
              </w:rPr>
              <w:t xml:space="preserve">22 de la LIR et </w:t>
            </w:r>
            <w:r w:rsidR="00791526" w:rsidRPr="00BD011C">
              <w:rPr>
                <w:rFonts w:ascii="Arial" w:hAnsi="Arial" w:cs="Arial"/>
                <w:i/>
                <w:snapToGrid/>
              </w:rPr>
              <w:t>article</w:t>
            </w:r>
            <w:r w:rsidR="0095557E">
              <w:rPr>
                <w:rFonts w:ascii="Arial" w:hAnsi="Arial" w:cs="Arial"/>
                <w:i/>
                <w:snapToGrid/>
              </w:rPr>
              <w:t> </w:t>
            </w:r>
            <w:r w:rsidRPr="00BD011C">
              <w:rPr>
                <w:rFonts w:ascii="Arial" w:hAnsi="Arial" w:cs="Arial"/>
                <w:i/>
                <w:snapToGrid/>
              </w:rPr>
              <w:t>184 de la LI)</w:t>
            </w:r>
          </w:p>
          <w:p w14:paraId="26A3035F" w14:textId="458674D7" w:rsidR="003D1CEF" w:rsidRPr="00BD011C" w:rsidRDefault="003D1CEF" w:rsidP="00FD6C9A">
            <w:pPr>
              <w:pStyle w:val="123"/>
              <w:spacing w:before="120" w:after="120"/>
              <w:rPr>
                <w:rFonts w:ascii="Arial" w:hAnsi="Arial" w:cs="Arial"/>
                <w:i/>
                <w:snapToGrid/>
              </w:rPr>
            </w:pPr>
            <w:r w:rsidRPr="00BD011C">
              <w:rPr>
                <w:rFonts w:ascii="Arial" w:hAnsi="Arial" w:cs="Arial"/>
                <w:snapToGrid/>
              </w:rPr>
              <w:t>Est-ce que les autres choix relatifs au transfert de biens et dettes assumées ont été considérés, par exemple pour les revenus différés (voir paragraphe</w:t>
            </w:r>
            <w:r w:rsidR="0095557E">
              <w:rPr>
                <w:rFonts w:ascii="Arial" w:hAnsi="Arial" w:cs="Arial"/>
                <w:snapToGrid/>
              </w:rPr>
              <w:t> </w:t>
            </w:r>
            <w:r w:rsidRPr="00BD011C">
              <w:rPr>
                <w:rFonts w:ascii="Arial" w:hAnsi="Arial" w:cs="Arial"/>
                <w:snapToGrid/>
              </w:rPr>
              <w:t>20(24) de la LIR et article</w:t>
            </w:r>
            <w:r w:rsidR="0095557E">
              <w:rPr>
                <w:rFonts w:ascii="Arial" w:hAnsi="Arial" w:cs="Arial"/>
                <w:snapToGrid/>
              </w:rPr>
              <w:t> </w:t>
            </w:r>
            <w:r w:rsidRPr="00BD011C">
              <w:rPr>
                <w:rFonts w:ascii="Arial" w:hAnsi="Arial" w:cs="Arial"/>
                <w:snapToGrid/>
              </w:rPr>
              <w:t xml:space="preserve">157.10 de la LI), pour les franchises, concessions, </w:t>
            </w:r>
            <w:r w:rsidR="00D620F4" w:rsidRPr="00BD011C">
              <w:rPr>
                <w:rFonts w:ascii="Arial" w:hAnsi="Arial" w:cs="Arial"/>
                <w:snapToGrid/>
              </w:rPr>
              <w:t>licences</w:t>
            </w:r>
            <w:r w:rsidRPr="00BD011C">
              <w:rPr>
                <w:rFonts w:ascii="Arial" w:hAnsi="Arial" w:cs="Arial"/>
                <w:snapToGrid/>
              </w:rPr>
              <w:t xml:space="preserve"> et autres biens semblables à durée limitée (voir paragraphe</w:t>
            </w:r>
            <w:r w:rsidR="0095557E">
              <w:rPr>
                <w:rFonts w:ascii="Arial" w:hAnsi="Arial" w:cs="Arial"/>
                <w:snapToGrid/>
              </w:rPr>
              <w:t> </w:t>
            </w:r>
            <w:r w:rsidRPr="00BD011C">
              <w:rPr>
                <w:rFonts w:ascii="Arial" w:hAnsi="Arial" w:cs="Arial"/>
                <w:snapToGrid/>
              </w:rPr>
              <w:t>13(4.2) de la LIR et article</w:t>
            </w:r>
            <w:r w:rsidR="0095557E">
              <w:rPr>
                <w:rFonts w:ascii="Arial" w:hAnsi="Arial" w:cs="Arial"/>
                <w:snapToGrid/>
              </w:rPr>
              <w:t> </w:t>
            </w:r>
            <w:r w:rsidRPr="00BD011C">
              <w:rPr>
                <w:rFonts w:ascii="Arial" w:hAnsi="Arial" w:cs="Arial"/>
                <w:snapToGrid/>
              </w:rPr>
              <w:t>96.0.2 de la LI)</w:t>
            </w:r>
            <w:r w:rsidR="001A637D" w:rsidRPr="00BD011C">
              <w:rPr>
                <w:rFonts w:ascii="Arial" w:hAnsi="Arial" w:cs="Arial"/>
                <w:snapToGrid/>
              </w:rPr>
              <w:t>?</w:t>
            </w:r>
          </w:p>
        </w:tc>
        <w:tc>
          <w:tcPr>
            <w:tcW w:w="628" w:type="dxa"/>
            <w:shd w:val="clear" w:color="auto" w:fill="FFFFFF"/>
          </w:tcPr>
          <w:p w14:paraId="56C521D0" w14:textId="77777777" w:rsidR="000269E3" w:rsidRPr="00BD011C" w:rsidRDefault="000269E3" w:rsidP="00FD6C9A">
            <w:pPr>
              <w:spacing w:before="120" w:after="120"/>
              <w:jc w:val="center"/>
              <w:rPr>
                <w:rFonts w:cs="Arial"/>
                <w:sz w:val="20"/>
              </w:rPr>
            </w:pPr>
          </w:p>
        </w:tc>
        <w:tc>
          <w:tcPr>
            <w:tcW w:w="717" w:type="dxa"/>
            <w:shd w:val="clear" w:color="auto" w:fill="FFFFFF"/>
          </w:tcPr>
          <w:p w14:paraId="63AEFB48" w14:textId="77777777" w:rsidR="000269E3" w:rsidRPr="00BD011C" w:rsidRDefault="000269E3" w:rsidP="00FD6C9A">
            <w:pPr>
              <w:spacing w:before="120" w:after="120"/>
              <w:jc w:val="center"/>
              <w:rPr>
                <w:rFonts w:cs="Arial"/>
                <w:sz w:val="20"/>
              </w:rPr>
            </w:pPr>
          </w:p>
        </w:tc>
        <w:tc>
          <w:tcPr>
            <w:tcW w:w="659" w:type="dxa"/>
            <w:shd w:val="clear" w:color="auto" w:fill="FFFFFF"/>
          </w:tcPr>
          <w:p w14:paraId="4AEAE760" w14:textId="77777777" w:rsidR="000269E3" w:rsidRPr="00BD011C" w:rsidRDefault="000269E3" w:rsidP="00FD6C9A">
            <w:pPr>
              <w:spacing w:before="120" w:after="120"/>
              <w:jc w:val="center"/>
              <w:rPr>
                <w:rFonts w:cs="Arial"/>
                <w:sz w:val="20"/>
              </w:rPr>
            </w:pPr>
          </w:p>
        </w:tc>
        <w:tc>
          <w:tcPr>
            <w:tcW w:w="3121" w:type="dxa"/>
            <w:shd w:val="clear" w:color="auto" w:fill="FFFFFF"/>
          </w:tcPr>
          <w:p w14:paraId="30BB2F22" w14:textId="77777777" w:rsidR="000269E3" w:rsidRPr="00BD011C" w:rsidRDefault="000269E3" w:rsidP="00FD6C9A">
            <w:pPr>
              <w:spacing w:before="120" w:after="120"/>
              <w:jc w:val="center"/>
              <w:rPr>
                <w:rFonts w:cs="Arial"/>
                <w:sz w:val="20"/>
              </w:rPr>
            </w:pPr>
          </w:p>
        </w:tc>
      </w:tr>
      <w:tr w:rsidR="000269E3" w:rsidRPr="00BD011C" w14:paraId="60CD047F" w14:textId="77777777" w:rsidTr="001A637D">
        <w:trPr>
          <w:cantSplit/>
          <w:trHeight w:val="403"/>
        </w:trPr>
        <w:tc>
          <w:tcPr>
            <w:tcW w:w="4233" w:type="dxa"/>
            <w:shd w:val="clear" w:color="auto" w:fill="FFFFFF"/>
          </w:tcPr>
          <w:p w14:paraId="1EDCC9BC" w14:textId="77777777" w:rsidR="000269E3" w:rsidRPr="00BD011C" w:rsidRDefault="000269E3" w:rsidP="00FD6C9A">
            <w:pPr>
              <w:pStyle w:val="Titre2"/>
              <w:spacing w:before="120" w:after="120"/>
              <w:rPr>
                <w:rFonts w:cs="Arial"/>
              </w:rPr>
            </w:pPr>
            <w:bookmarkStart w:id="17" w:name="_Toc368571835"/>
            <w:r w:rsidRPr="00BD011C">
              <w:rPr>
                <w:rFonts w:cs="Arial"/>
              </w:rPr>
              <w:t>Section B</w:t>
            </w:r>
            <w:r w:rsidRPr="00BD011C">
              <w:rPr>
                <w:rFonts w:cs="Arial"/>
              </w:rPr>
              <w:cr/>
              <w:t>Limite des choix</w:t>
            </w:r>
            <w:bookmarkEnd w:id="17"/>
          </w:p>
          <w:p w14:paraId="1733FE40" w14:textId="77777777" w:rsidR="000269E3" w:rsidRPr="00BD011C" w:rsidRDefault="000269E3" w:rsidP="009D05FD">
            <w:pPr>
              <w:pStyle w:val="123"/>
              <w:rPr>
                <w:rFonts w:ascii="Arial" w:hAnsi="Arial" w:cs="Arial"/>
              </w:rPr>
            </w:pPr>
            <w:r w:rsidRPr="00BD011C">
              <w:rPr>
                <w:rFonts w:ascii="Arial" w:hAnsi="Arial" w:cs="Arial"/>
                <w:snapToGrid/>
              </w:rPr>
              <w:t>La juste valeur marchande (JVM) de la contrepartie totale reçue est-elle</w:t>
            </w:r>
            <w:r w:rsidR="00714515">
              <w:rPr>
                <w:rFonts w:ascii="Arial" w:hAnsi="Arial" w:cs="Arial"/>
                <w:snapToGrid/>
              </w:rPr>
              <w:t xml:space="preserve"> égale à la JVM des biens transférés? Si non, </w:t>
            </w:r>
            <w:r w:rsidR="00307A6D">
              <w:rPr>
                <w:rFonts w:ascii="Arial" w:hAnsi="Arial" w:cs="Arial"/>
                <w:snapToGrid/>
              </w:rPr>
              <w:t>voir la q</w:t>
            </w:r>
            <w:r w:rsidR="00714515">
              <w:rPr>
                <w:rFonts w:ascii="Arial" w:hAnsi="Arial" w:cs="Arial"/>
                <w:snapToGrid/>
              </w:rPr>
              <w:t>uestion suivante</w:t>
            </w:r>
            <w:r w:rsidR="00307A6D">
              <w:rPr>
                <w:rFonts w:ascii="Arial" w:hAnsi="Arial" w:cs="Arial"/>
                <w:snapToGrid/>
              </w:rPr>
              <w:t>.</w:t>
            </w:r>
          </w:p>
        </w:tc>
        <w:tc>
          <w:tcPr>
            <w:tcW w:w="628" w:type="dxa"/>
            <w:shd w:val="clear" w:color="auto" w:fill="FFFFFF"/>
          </w:tcPr>
          <w:p w14:paraId="40ADA5A2" w14:textId="77777777" w:rsidR="000269E3" w:rsidRPr="00BD011C" w:rsidRDefault="000269E3" w:rsidP="00FD6C9A">
            <w:pPr>
              <w:spacing w:before="120" w:after="120"/>
              <w:jc w:val="center"/>
              <w:rPr>
                <w:rFonts w:cs="Arial"/>
                <w:sz w:val="20"/>
              </w:rPr>
            </w:pPr>
          </w:p>
        </w:tc>
        <w:tc>
          <w:tcPr>
            <w:tcW w:w="717" w:type="dxa"/>
            <w:shd w:val="clear" w:color="auto" w:fill="FFFFFF"/>
          </w:tcPr>
          <w:p w14:paraId="60B7FD29" w14:textId="77777777" w:rsidR="000269E3" w:rsidRPr="00BD011C" w:rsidRDefault="000269E3" w:rsidP="00FD6C9A">
            <w:pPr>
              <w:spacing w:before="120" w:after="120"/>
              <w:jc w:val="center"/>
              <w:rPr>
                <w:rFonts w:cs="Arial"/>
                <w:sz w:val="20"/>
              </w:rPr>
            </w:pPr>
          </w:p>
        </w:tc>
        <w:tc>
          <w:tcPr>
            <w:tcW w:w="659" w:type="dxa"/>
            <w:shd w:val="clear" w:color="auto" w:fill="FFFFFF"/>
          </w:tcPr>
          <w:p w14:paraId="0D77E869" w14:textId="77777777" w:rsidR="000269E3" w:rsidRPr="00BD011C" w:rsidRDefault="000269E3" w:rsidP="00FD6C9A">
            <w:pPr>
              <w:spacing w:before="120" w:after="120"/>
              <w:jc w:val="center"/>
              <w:rPr>
                <w:rFonts w:cs="Arial"/>
                <w:sz w:val="20"/>
              </w:rPr>
            </w:pPr>
          </w:p>
        </w:tc>
        <w:tc>
          <w:tcPr>
            <w:tcW w:w="3121" w:type="dxa"/>
            <w:shd w:val="clear" w:color="auto" w:fill="FFFFFF"/>
          </w:tcPr>
          <w:p w14:paraId="4C1BC7CE" w14:textId="77777777" w:rsidR="000269E3" w:rsidRPr="00BD011C" w:rsidRDefault="000269E3" w:rsidP="00FD6C9A">
            <w:pPr>
              <w:spacing w:before="120" w:after="120"/>
              <w:jc w:val="center"/>
              <w:rPr>
                <w:rFonts w:cs="Arial"/>
                <w:sz w:val="20"/>
              </w:rPr>
            </w:pPr>
          </w:p>
        </w:tc>
      </w:tr>
      <w:tr w:rsidR="000269E3" w:rsidRPr="00BD011C" w14:paraId="54132B9F" w14:textId="77777777" w:rsidTr="001A637D">
        <w:trPr>
          <w:cantSplit/>
          <w:trHeight w:val="403"/>
        </w:trPr>
        <w:tc>
          <w:tcPr>
            <w:tcW w:w="4233" w:type="dxa"/>
            <w:shd w:val="clear" w:color="auto" w:fill="FFFFFF"/>
          </w:tcPr>
          <w:p w14:paraId="34327419" w14:textId="6AB8C395" w:rsidR="00714515" w:rsidRDefault="00714515" w:rsidP="00714515">
            <w:pPr>
              <w:pStyle w:val="123"/>
              <w:spacing w:before="120" w:after="120"/>
              <w:rPr>
                <w:rFonts w:ascii="Arial" w:hAnsi="Arial" w:cs="Arial"/>
              </w:rPr>
            </w:pPr>
            <w:r>
              <w:rPr>
                <w:rFonts w:ascii="Arial" w:hAnsi="Arial" w:cs="Arial"/>
                <w:snapToGrid/>
              </w:rPr>
              <w:t>Si l</w:t>
            </w:r>
            <w:r w:rsidRPr="00BD011C">
              <w:rPr>
                <w:rFonts w:ascii="Arial" w:hAnsi="Arial" w:cs="Arial"/>
                <w:snapToGrid/>
              </w:rPr>
              <w:t>a juste valeur marchande (JVM) de la contrepartie totale reçue</w:t>
            </w:r>
            <w:r>
              <w:rPr>
                <w:rFonts w:ascii="Arial" w:hAnsi="Arial" w:cs="Arial"/>
                <w:snapToGrid/>
              </w:rPr>
              <w:t xml:space="preserve"> est inférieure ou</w:t>
            </w:r>
            <w:r w:rsidRPr="00BD011C">
              <w:rPr>
                <w:rFonts w:ascii="Arial" w:hAnsi="Arial" w:cs="Arial"/>
                <w:snapToGrid/>
              </w:rPr>
              <w:t xml:space="preserve"> égale à la JVM des biens transférés</w:t>
            </w:r>
            <w:r>
              <w:rPr>
                <w:rFonts w:ascii="Arial" w:hAnsi="Arial" w:cs="Arial"/>
                <w:snapToGrid/>
              </w:rPr>
              <w:t xml:space="preserve"> </w:t>
            </w:r>
            <w:r w:rsidR="009D05FD">
              <w:rPr>
                <w:rFonts w:ascii="Arial" w:hAnsi="Arial" w:cs="Arial"/>
                <w:snapToGrid/>
              </w:rPr>
              <w:t>(v</w:t>
            </w:r>
            <w:r w:rsidRPr="00BD011C">
              <w:rPr>
                <w:rFonts w:ascii="Arial" w:hAnsi="Arial" w:cs="Arial"/>
                <w:i/>
              </w:rPr>
              <w:t>oir alinéa</w:t>
            </w:r>
            <w:r w:rsidR="0095557E">
              <w:rPr>
                <w:rFonts w:ascii="Arial" w:hAnsi="Arial" w:cs="Arial"/>
                <w:i/>
              </w:rPr>
              <w:t> </w:t>
            </w:r>
            <w:r w:rsidRPr="00BD011C">
              <w:rPr>
                <w:rFonts w:ascii="Arial" w:hAnsi="Arial" w:cs="Arial"/>
                <w:i/>
              </w:rPr>
              <w:t>85(</w:t>
            </w:r>
            <w:proofErr w:type="gramStart"/>
            <w:r w:rsidRPr="00BD011C">
              <w:rPr>
                <w:rFonts w:ascii="Arial" w:hAnsi="Arial" w:cs="Arial"/>
                <w:i/>
              </w:rPr>
              <w:t>1)e.</w:t>
            </w:r>
            <w:proofErr w:type="gramEnd"/>
            <w:r w:rsidRPr="00BD011C">
              <w:rPr>
                <w:rFonts w:ascii="Arial" w:hAnsi="Arial" w:cs="Arial"/>
                <w:i/>
              </w:rPr>
              <w:t>2) de la LIR et article</w:t>
            </w:r>
            <w:r w:rsidR="0095557E">
              <w:rPr>
                <w:rFonts w:ascii="Arial" w:hAnsi="Arial" w:cs="Arial"/>
                <w:i/>
              </w:rPr>
              <w:t> </w:t>
            </w:r>
            <w:r w:rsidRPr="00BD011C">
              <w:rPr>
                <w:rFonts w:ascii="Arial" w:hAnsi="Arial" w:cs="Arial"/>
                <w:i/>
              </w:rPr>
              <w:t>526 de la LI</w:t>
            </w:r>
            <w:r w:rsidRPr="00BD011C">
              <w:rPr>
                <w:rFonts w:ascii="Arial" w:hAnsi="Arial" w:cs="Arial"/>
              </w:rPr>
              <w:t>)</w:t>
            </w:r>
            <w:r w:rsidR="009D05FD">
              <w:rPr>
                <w:rFonts w:ascii="Arial" w:hAnsi="Arial" w:cs="Arial"/>
              </w:rPr>
              <w:t>.</w:t>
            </w:r>
          </w:p>
          <w:p w14:paraId="0E9CB582" w14:textId="07C4B11D" w:rsidR="000269E3" w:rsidRPr="00BD011C" w:rsidRDefault="00714515" w:rsidP="00307A6D">
            <w:pPr>
              <w:pStyle w:val="123"/>
              <w:spacing w:before="120" w:after="120"/>
              <w:rPr>
                <w:rFonts w:ascii="Arial" w:hAnsi="Arial" w:cs="Arial"/>
              </w:rPr>
            </w:pPr>
            <w:r>
              <w:rPr>
                <w:rFonts w:ascii="Arial" w:hAnsi="Arial" w:cs="Arial"/>
                <w:snapToGrid/>
              </w:rPr>
              <w:t>Si l</w:t>
            </w:r>
            <w:r w:rsidR="000269E3" w:rsidRPr="00BD011C">
              <w:rPr>
                <w:rFonts w:ascii="Arial" w:hAnsi="Arial" w:cs="Arial"/>
                <w:snapToGrid/>
              </w:rPr>
              <w:t>a JVM de la contrepartie reçue, autre qu</w:t>
            </w:r>
            <w:r w:rsidR="0095557E">
              <w:rPr>
                <w:rFonts w:ascii="Arial" w:hAnsi="Arial" w:cs="Arial"/>
                <w:snapToGrid/>
              </w:rPr>
              <w:t>’</w:t>
            </w:r>
            <w:r w:rsidR="000269E3" w:rsidRPr="00BD011C">
              <w:rPr>
                <w:rFonts w:ascii="Arial" w:hAnsi="Arial" w:cs="Arial"/>
                <w:snapToGrid/>
              </w:rPr>
              <w:t xml:space="preserve">en actions, est </w:t>
            </w:r>
            <w:r w:rsidR="00BE3ADD">
              <w:rPr>
                <w:rFonts w:ascii="Arial" w:hAnsi="Arial" w:cs="Arial"/>
                <w:snapToGrid/>
              </w:rPr>
              <w:t>supérieur</w:t>
            </w:r>
            <w:r>
              <w:rPr>
                <w:rFonts w:ascii="Arial" w:hAnsi="Arial" w:cs="Arial"/>
                <w:snapToGrid/>
              </w:rPr>
              <w:t>e</w:t>
            </w:r>
            <w:r w:rsidR="00BE3ADD">
              <w:rPr>
                <w:rFonts w:ascii="Arial" w:hAnsi="Arial" w:cs="Arial"/>
                <w:snapToGrid/>
              </w:rPr>
              <w:t xml:space="preserve"> </w:t>
            </w:r>
            <w:r w:rsidR="000269E3" w:rsidRPr="00BD011C">
              <w:rPr>
                <w:rFonts w:ascii="Arial" w:hAnsi="Arial" w:cs="Arial"/>
                <w:snapToGrid/>
              </w:rPr>
              <w:t>ou égale à la JVM des biens transférés</w:t>
            </w:r>
            <w:r>
              <w:rPr>
                <w:rFonts w:ascii="Arial" w:hAnsi="Arial" w:cs="Arial"/>
                <w:snapToGrid/>
              </w:rPr>
              <w:t xml:space="preserve"> </w:t>
            </w:r>
            <w:r w:rsidR="000269E3" w:rsidRPr="00BD011C">
              <w:rPr>
                <w:rFonts w:ascii="Arial" w:hAnsi="Arial" w:cs="Arial"/>
              </w:rPr>
              <w:t>(</w:t>
            </w:r>
            <w:r w:rsidR="009D05FD">
              <w:rPr>
                <w:rFonts w:ascii="Arial" w:hAnsi="Arial" w:cs="Arial"/>
              </w:rPr>
              <w:t>v</w:t>
            </w:r>
            <w:r w:rsidR="000269E3" w:rsidRPr="00BD011C">
              <w:rPr>
                <w:rFonts w:ascii="Arial" w:hAnsi="Arial" w:cs="Arial"/>
                <w:i/>
              </w:rPr>
              <w:t>oir</w:t>
            </w:r>
            <w:r w:rsidR="00791526" w:rsidRPr="00BD011C">
              <w:rPr>
                <w:rFonts w:ascii="Arial" w:hAnsi="Arial" w:cs="Arial"/>
                <w:i/>
              </w:rPr>
              <w:t xml:space="preserve"> paragraphe</w:t>
            </w:r>
            <w:r w:rsidR="0095557E">
              <w:rPr>
                <w:rFonts w:ascii="Arial" w:hAnsi="Arial" w:cs="Arial"/>
                <w:i/>
              </w:rPr>
              <w:t> </w:t>
            </w:r>
            <w:r w:rsidR="000269E3" w:rsidRPr="00BD011C">
              <w:rPr>
                <w:rFonts w:ascii="Arial" w:hAnsi="Arial" w:cs="Arial"/>
                <w:i/>
              </w:rPr>
              <w:t>15(1) de la LIR et articles</w:t>
            </w:r>
            <w:r w:rsidR="0095557E">
              <w:rPr>
                <w:rFonts w:ascii="Arial" w:hAnsi="Arial" w:cs="Arial"/>
                <w:i/>
              </w:rPr>
              <w:t> </w:t>
            </w:r>
            <w:r w:rsidR="000269E3" w:rsidRPr="00BD011C">
              <w:rPr>
                <w:rFonts w:ascii="Arial" w:hAnsi="Arial" w:cs="Arial"/>
                <w:i/>
              </w:rPr>
              <w:t>111 et 112 de la LI</w:t>
            </w:r>
            <w:r w:rsidR="000269E3" w:rsidRPr="00BD011C">
              <w:rPr>
                <w:rFonts w:ascii="Arial" w:hAnsi="Arial" w:cs="Arial"/>
              </w:rPr>
              <w:t>)</w:t>
            </w:r>
          </w:p>
        </w:tc>
        <w:tc>
          <w:tcPr>
            <w:tcW w:w="628" w:type="dxa"/>
            <w:shd w:val="clear" w:color="auto" w:fill="FFFFFF"/>
          </w:tcPr>
          <w:p w14:paraId="2CEBE836" w14:textId="77777777" w:rsidR="000269E3" w:rsidRPr="00BD011C" w:rsidRDefault="000269E3" w:rsidP="00FD6C9A">
            <w:pPr>
              <w:spacing w:before="120" w:after="120"/>
              <w:jc w:val="center"/>
              <w:rPr>
                <w:rFonts w:cs="Arial"/>
                <w:sz w:val="20"/>
              </w:rPr>
            </w:pPr>
          </w:p>
        </w:tc>
        <w:tc>
          <w:tcPr>
            <w:tcW w:w="717" w:type="dxa"/>
            <w:shd w:val="clear" w:color="auto" w:fill="FFFFFF"/>
          </w:tcPr>
          <w:p w14:paraId="71382AFE" w14:textId="77777777" w:rsidR="000269E3" w:rsidRPr="00BD011C" w:rsidRDefault="000269E3" w:rsidP="00FD6C9A">
            <w:pPr>
              <w:spacing w:before="120" w:after="120"/>
              <w:jc w:val="center"/>
              <w:rPr>
                <w:rFonts w:cs="Arial"/>
                <w:sz w:val="20"/>
              </w:rPr>
            </w:pPr>
          </w:p>
        </w:tc>
        <w:tc>
          <w:tcPr>
            <w:tcW w:w="659" w:type="dxa"/>
            <w:shd w:val="clear" w:color="auto" w:fill="FFFFFF"/>
          </w:tcPr>
          <w:p w14:paraId="12D64824" w14:textId="77777777" w:rsidR="000269E3" w:rsidRPr="00BD011C" w:rsidRDefault="000269E3" w:rsidP="00FD6C9A">
            <w:pPr>
              <w:spacing w:before="120" w:after="120"/>
              <w:jc w:val="center"/>
              <w:rPr>
                <w:rFonts w:cs="Arial"/>
                <w:sz w:val="20"/>
              </w:rPr>
            </w:pPr>
          </w:p>
        </w:tc>
        <w:tc>
          <w:tcPr>
            <w:tcW w:w="3121" w:type="dxa"/>
            <w:shd w:val="clear" w:color="auto" w:fill="FFFFFF"/>
          </w:tcPr>
          <w:p w14:paraId="419A35EA" w14:textId="77777777" w:rsidR="000269E3" w:rsidRPr="00BD011C" w:rsidRDefault="000269E3" w:rsidP="00FD6C9A">
            <w:pPr>
              <w:spacing w:before="120" w:after="120"/>
              <w:jc w:val="center"/>
              <w:rPr>
                <w:rFonts w:cs="Arial"/>
                <w:sz w:val="20"/>
              </w:rPr>
            </w:pPr>
          </w:p>
        </w:tc>
      </w:tr>
      <w:tr w:rsidR="000269E3" w:rsidRPr="00BD011C" w14:paraId="039D652E" w14:textId="77777777" w:rsidTr="001A637D">
        <w:trPr>
          <w:cantSplit/>
          <w:trHeight w:val="403"/>
        </w:trPr>
        <w:tc>
          <w:tcPr>
            <w:tcW w:w="4233" w:type="dxa"/>
            <w:shd w:val="clear" w:color="auto" w:fill="FFFFFF"/>
          </w:tcPr>
          <w:p w14:paraId="7E7D55E3" w14:textId="77777777" w:rsidR="000269E3" w:rsidRDefault="000269E3" w:rsidP="00FD6C9A">
            <w:pPr>
              <w:pStyle w:val="123"/>
              <w:spacing w:before="120" w:after="120"/>
              <w:rPr>
                <w:rFonts w:ascii="Arial" w:hAnsi="Arial" w:cs="Arial"/>
                <w:snapToGrid/>
              </w:rPr>
            </w:pPr>
            <w:r w:rsidRPr="00BD011C">
              <w:rPr>
                <w:rFonts w:ascii="Arial" w:hAnsi="Arial" w:cs="Arial"/>
                <w:snapToGrid/>
              </w:rPr>
              <w:lastRenderedPageBreak/>
              <w:t>La somme convenue est-elle inférieure ou égale à la JVM des biens transférés?</w:t>
            </w:r>
          </w:p>
          <w:p w14:paraId="2954F195" w14:textId="1D05E813" w:rsidR="00BE3ADD" w:rsidRPr="00BD011C" w:rsidRDefault="00BE3ADD" w:rsidP="00FD6C9A">
            <w:pPr>
              <w:spacing w:before="120" w:after="120"/>
              <w:rPr>
                <w:rFonts w:cs="Arial"/>
                <w:sz w:val="20"/>
              </w:rPr>
            </w:pPr>
            <w:r w:rsidRPr="00BD011C">
              <w:rPr>
                <w:rFonts w:cs="Arial"/>
                <w:sz w:val="20"/>
              </w:rPr>
              <w:t>(</w:t>
            </w:r>
            <w:r w:rsidRPr="00BD011C">
              <w:rPr>
                <w:rFonts w:cs="Arial"/>
                <w:i/>
                <w:sz w:val="20"/>
              </w:rPr>
              <w:t>Voir alinéas 85(1)b) et e.3) de la LIR et alinéa</w:t>
            </w:r>
            <w:r w:rsidR="0095557E">
              <w:rPr>
                <w:rFonts w:cs="Arial"/>
                <w:i/>
                <w:sz w:val="20"/>
              </w:rPr>
              <w:t> </w:t>
            </w:r>
            <w:r w:rsidRPr="00BD011C">
              <w:rPr>
                <w:rFonts w:cs="Arial"/>
                <w:i/>
                <w:sz w:val="20"/>
              </w:rPr>
              <w:t>522(b) et article</w:t>
            </w:r>
            <w:r w:rsidR="0095557E">
              <w:rPr>
                <w:rFonts w:cs="Arial"/>
                <w:i/>
                <w:sz w:val="20"/>
              </w:rPr>
              <w:t> </w:t>
            </w:r>
            <w:r w:rsidRPr="00BD011C">
              <w:rPr>
                <w:rFonts w:cs="Arial"/>
                <w:i/>
                <w:sz w:val="20"/>
              </w:rPr>
              <w:t>523 de la LI</w:t>
            </w:r>
            <w:r w:rsidRPr="00BD011C">
              <w:rPr>
                <w:rFonts w:cs="Arial"/>
                <w:sz w:val="20"/>
              </w:rPr>
              <w:t>)</w:t>
            </w:r>
          </w:p>
        </w:tc>
        <w:tc>
          <w:tcPr>
            <w:tcW w:w="628" w:type="dxa"/>
            <w:shd w:val="clear" w:color="auto" w:fill="FFFFFF"/>
          </w:tcPr>
          <w:p w14:paraId="3AC4AE61" w14:textId="77777777" w:rsidR="000269E3" w:rsidRPr="00BD011C" w:rsidRDefault="000269E3" w:rsidP="00FD6C9A">
            <w:pPr>
              <w:spacing w:before="120" w:after="120"/>
              <w:jc w:val="center"/>
              <w:rPr>
                <w:rFonts w:cs="Arial"/>
                <w:sz w:val="20"/>
              </w:rPr>
            </w:pPr>
          </w:p>
        </w:tc>
        <w:tc>
          <w:tcPr>
            <w:tcW w:w="717" w:type="dxa"/>
            <w:shd w:val="clear" w:color="auto" w:fill="FFFFFF"/>
          </w:tcPr>
          <w:p w14:paraId="2662A37F" w14:textId="77777777" w:rsidR="000269E3" w:rsidRPr="00BD011C" w:rsidRDefault="000269E3" w:rsidP="00FD6C9A">
            <w:pPr>
              <w:spacing w:before="120" w:after="120"/>
              <w:jc w:val="center"/>
              <w:rPr>
                <w:rFonts w:cs="Arial"/>
                <w:sz w:val="20"/>
              </w:rPr>
            </w:pPr>
          </w:p>
        </w:tc>
        <w:tc>
          <w:tcPr>
            <w:tcW w:w="659" w:type="dxa"/>
            <w:shd w:val="clear" w:color="auto" w:fill="FFFFFF"/>
          </w:tcPr>
          <w:p w14:paraId="3126F3F6" w14:textId="77777777" w:rsidR="000269E3" w:rsidRPr="00BD011C" w:rsidRDefault="000269E3" w:rsidP="00FD6C9A">
            <w:pPr>
              <w:spacing w:before="120" w:after="120"/>
              <w:jc w:val="center"/>
              <w:rPr>
                <w:rFonts w:cs="Arial"/>
                <w:sz w:val="20"/>
              </w:rPr>
            </w:pPr>
          </w:p>
        </w:tc>
        <w:tc>
          <w:tcPr>
            <w:tcW w:w="3121" w:type="dxa"/>
            <w:shd w:val="clear" w:color="auto" w:fill="FFFFFF"/>
          </w:tcPr>
          <w:p w14:paraId="3E6A0061" w14:textId="77777777" w:rsidR="000269E3" w:rsidRPr="00BD011C" w:rsidRDefault="000269E3" w:rsidP="00FD6C9A">
            <w:pPr>
              <w:spacing w:before="120" w:after="120"/>
              <w:jc w:val="center"/>
              <w:rPr>
                <w:rFonts w:cs="Arial"/>
                <w:sz w:val="20"/>
              </w:rPr>
            </w:pPr>
          </w:p>
        </w:tc>
      </w:tr>
      <w:tr w:rsidR="000269E3" w:rsidRPr="00BD011C" w14:paraId="2B2923A3" w14:textId="77777777" w:rsidTr="001A637D">
        <w:trPr>
          <w:cantSplit/>
          <w:trHeight w:val="403"/>
        </w:trPr>
        <w:tc>
          <w:tcPr>
            <w:tcW w:w="4233" w:type="dxa"/>
            <w:shd w:val="clear" w:color="auto" w:fill="FFFFFF"/>
          </w:tcPr>
          <w:p w14:paraId="483F4451" w14:textId="6CC2B77F" w:rsidR="00FD6C9A" w:rsidRDefault="000269E3" w:rsidP="00FD6C9A">
            <w:pPr>
              <w:pStyle w:val="123"/>
              <w:spacing w:before="120" w:after="120"/>
              <w:rPr>
                <w:rFonts w:ascii="Arial" w:hAnsi="Arial" w:cs="Arial"/>
                <w:snapToGrid/>
              </w:rPr>
            </w:pPr>
            <w:r w:rsidRPr="00BD011C">
              <w:rPr>
                <w:rFonts w:ascii="Arial" w:hAnsi="Arial" w:cs="Arial"/>
                <w:snapToGrid/>
              </w:rPr>
              <w:t>La somme convenue est-elle égale ou supérieure à la JVM de la contrepartie reçue autre qu</w:t>
            </w:r>
            <w:r w:rsidR="0095557E">
              <w:rPr>
                <w:rFonts w:ascii="Arial" w:hAnsi="Arial" w:cs="Arial"/>
                <w:snapToGrid/>
              </w:rPr>
              <w:t>’</w:t>
            </w:r>
            <w:r w:rsidRPr="00BD011C">
              <w:rPr>
                <w:rFonts w:ascii="Arial" w:hAnsi="Arial" w:cs="Arial"/>
                <w:snapToGrid/>
              </w:rPr>
              <w:t>en actions?</w:t>
            </w:r>
          </w:p>
          <w:p w14:paraId="3E2CB084" w14:textId="6FB0DE11" w:rsidR="000269E3" w:rsidRPr="00BD011C" w:rsidRDefault="00BE3ADD" w:rsidP="00FD6C9A">
            <w:pPr>
              <w:pStyle w:val="123"/>
              <w:spacing w:before="120" w:after="120"/>
              <w:rPr>
                <w:rFonts w:ascii="Arial" w:hAnsi="Arial" w:cs="Arial"/>
              </w:rPr>
            </w:pPr>
            <w:r w:rsidRPr="00BD011C">
              <w:rPr>
                <w:rFonts w:ascii="Arial" w:hAnsi="Arial" w:cs="Arial"/>
              </w:rPr>
              <w:t>(</w:t>
            </w:r>
            <w:r w:rsidRPr="00BD011C">
              <w:rPr>
                <w:rFonts w:ascii="Arial" w:hAnsi="Arial" w:cs="Arial"/>
                <w:i/>
              </w:rPr>
              <w:t>Voir alinéa</w:t>
            </w:r>
            <w:r w:rsidR="0095557E">
              <w:rPr>
                <w:rFonts w:ascii="Arial" w:hAnsi="Arial" w:cs="Arial"/>
                <w:i/>
              </w:rPr>
              <w:t> </w:t>
            </w:r>
            <w:r w:rsidRPr="00BD011C">
              <w:rPr>
                <w:rFonts w:ascii="Arial" w:hAnsi="Arial" w:cs="Arial"/>
                <w:i/>
              </w:rPr>
              <w:t>85(1)c) de la LIR et alinéa</w:t>
            </w:r>
            <w:r w:rsidR="0095557E">
              <w:rPr>
                <w:rFonts w:ascii="Arial" w:hAnsi="Arial" w:cs="Arial"/>
                <w:i/>
              </w:rPr>
              <w:t> </w:t>
            </w:r>
            <w:r w:rsidRPr="00BD011C">
              <w:rPr>
                <w:rFonts w:ascii="Arial" w:hAnsi="Arial" w:cs="Arial"/>
                <w:i/>
              </w:rPr>
              <w:t>522(c) de la LI</w:t>
            </w:r>
            <w:r w:rsidRPr="00BD011C">
              <w:rPr>
                <w:rFonts w:ascii="Arial" w:hAnsi="Arial" w:cs="Arial"/>
              </w:rPr>
              <w:t>)</w:t>
            </w:r>
          </w:p>
        </w:tc>
        <w:tc>
          <w:tcPr>
            <w:tcW w:w="628" w:type="dxa"/>
            <w:shd w:val="clear" w:color="auto" w:fill="FFFFFF"/>
          </w:tcPr>
          <w:p w14:paraId="537C90AB" w14:textId="77777777" w:rsidR="000269E3" w:rsidRPr="00BD011C" w:rsidRDefault="000269E3" w:rsidP="00FD6C9A">
            <w:pPr>
              <w:spacing w:before="120" w:after="120"/>
              <w:jc w:val="center"/>
              <w:rPr>
                <w:rFonts w:cs="Arial"/>
                <w:sz w:val="20"/>
              </w:rPr>
            </w:pPr>
          </w:p>
        </w:tc>
        <w:tc>
          <w:tcPr>
            <w:tcW w:w="717" w:type="dxa"/>
            <w:shd w:val="clear" w:color="auto" w:fill="FFFFFF"/>
          </w:tcPr>
          <w:p w14:paraId="6CC6CC5B" w14:textId="77777777" w:rsidR="000269E3" w:rsidRPr="00BD011C" w:rsidRDefault="000269E3" w:rsidP="00FD6C9A">
            <w:pPr>
              <w:spacing w:before="120" w:after="120"/>
              <w:jc w:val="center"/>
              <w:rPr>
                <w:rFonts w:cs="Arial"/>
                <w:sz w:val="20"/>
              </w:rPr>
            </w:pPr>
          </w:p>
        </w:tc>
        <w:tc>
          <w:tcPr>
            <w:tcW w:w="659" w:type="dxa"/>
            <w:shd w:val="clear" w:color="auto" w:fill="FFFFFF"/>
          </w:tcPr>
          <w:p w14:paraId="219AAFE7" w14:textId="77777777" w:rsidR="000269E3" w:rsidRPr="00BD011C" w:rsidRDefault="000269E3" w:rsidP="00FD6C9A">
            <w:pPr>
              <w:spacing w:before="120" w:after="120"/>
              <w:jc w:val="center"/>
              <w:rPr>
                <w:rFonts w:cs="Arial"/>
                <w:sz w:val="20"/>
              </w:rPr>
            </w:pPr>
          </w:p>
        </w:tc>
        <w:tc>
          <w:tcPr>
            <w:tcW w:w="3121" w:type="dxa"/>
            <w:shd w:val="clear" w:color="auto" w:fill="FFFFFF"/>
          </w:tcPr>
          <w:p w14:paraId="465AF9AC" w14:textId="77777777" w:rsidR="000269E3" w:rsidRPr="00BD011C" w:rsidRDefault="000269E3" w:rsidP="00FD6C9A">
            <w:pPr>
              <w:spacing w:before="120" w:after="120"/>
              <w:jc w:val="center"/>
              <w:rPr>
                <w:rFonts w:cs="Arial"/>
                <w:sz w:val="20"/>
              </w:rPr>
            </w:pPr>
          </w:p>
        </w:tc>
      </w:tr>
      <w:tr w:rsidR="000269E3" w:rsidRPr="00BD011C" w14:paraId="07186E67" w14:textId="77777777" w:rsidTr="001A637D">
        <w:trPr>
          <w:cantSplit/>
          <w:trHeight w:val="403"/>
        </w:trPr>
        <w:tc>
          <w:tcPr>
            <w:tcW w:w="4233" w:type="dxa"/>
            <w:shd w:val="clear" w:color="auto" w:fill="FFFFFF"/>
          </w:tcPr>
          <w:p w14:paraId="6448EA1F" w14:textId="77777777" w:rsidR="000269E3" w:rsidRPr="00BD011C" w:rsidRDefault="000269E3" w:rsidP="00FD6C9A">
            <w:pPr>
              <w:pStyle w:val="123"/>
              <w:spacing w:before="120" w:after="120"/>
              <w:rPr>
                <w:rFonts w:ascii="Arial" w:hAnsi="Arial" w:cs="Arial"/>
                <w:snapToGrid/>
              </w:rPr>
            </w:pPr>
            <w:r w:rsidRPr="00BD011C">
              <w:rPr>
                <w:rFonts w:ascii="Arial" w:hAnsi="Arial" w:cs="Arial"/>
                <w:snapToGrid/>
              </w:rPr>
              <w:t>La somme convenue est-elle égale ou supérieure aux limites minimales prévues à la loi?</w:t>
            </w:r>
          </w:p>
          <w:p w14:paraId="5C4A9328" w14:textId="0E6CA69A" w:rsidR="000269E3" w:rsidRPr="00BD011C" w:rsidRDefault="000269E3" w:rsidP="00FD6C9A">
            <w:pPr>
              <w:spacing w:before="120" w:after="120"/>
              <w:rPr>
                <w:rFonts w:cs="Arial"/>
                <w:sz w:val="20"/>
              </w:rPr>
            </w:pPr>
            <w:r w:rsidRPr="00BD011C">
              <w:rPr>
                <w:rFonts w:cs="Arial"/>
                <w:sz w:val="20"/>
              </w:rPr>
              <w:t>(</w:t>
            </w:r>
            <w:r w:rsidRPr="00BD011C">
              <w:rPr>
                <w:rFonts w:cs="Arial"/>
                <w:i/>
                <w:sz w:val="20"/>
              </w:rPr>
              <w:t>Voir alinéas</w:t>
            </w:r>
            <w:r w:rsidR="0095557E">
              <w:rPr>
                <w:rFonts w:cs="Arial"/>
                <w:i/>
                <w:sz w:val="20"/>
              </w:rPr>
              <w:t> </w:t>
            </w:r>
            <w:r w:rsidRPr="00BD011C">
              <w:rPr>
                <w:rFonts w:cs="Arial"/>
                <w:i/>
                <w:sz w:val="20"/>
              </w:rPr>
              <w:t xml:space="preserve">85(1)c), </w:t>
            </w:r>
            <w:r w:rsidR="00BE3ADD">
              <w:rPr>
                <w:rFonts w:cs="Arial"/>
                <w:i/>
                <w:sz w:val="20"/>
              </w:rPr>
              <w:t xml:space="preserve">c.1) </w:t>
            </w:r>
            <w:r w:rsidRPr="00BD011C">
              <w:rPr>
                <w:rFonts w:cs="Arial"/>
                <w:i/>
                <w:sz w:val="20"/>
              </w:rPr>
              <w:t>d) et e) de la LIR et articles</w:t>
            </w:r>
            <w:r w:rsidR="0095557E">
              <w:rPr>
                <w:rFonts w:cs="Arial"/>
                <w:i/>
                <w:sz w:val="20"/>
              </w:rPr>
              <w:t> </w:t>
            </w:r>
            <w:r w:rsidRPr="00BD011C">
              <w:rPr>
                <w:rFonts w:cs="Arial"/>
                <w:i/>
                <w:sz w:val="20"/>
              </w:rPr>
              <w:t>522 et 524 de la LI</w:t>
            </w:r>
            <w:r w:rsidRPr="00BD011C">
              <w:rPr>
                <w:rFonts w:cs="Arial"/>
                <w:sz w:val="20"/>
              </w:rPr>
              <w:t>)</w:t>
            </w:r>
          </w:p>
        </w:tc>
        <w:tc>
          <w:tcPr>
            <w:tcW w:w="628" w:type="dxa"/>
            <w:shd w:val="clear" w:color="auto" w:fill="FFFFFF"/>
          </w:tcPr>
          <w:p w14:paraId="33FC54F3" w14:textId="77777777" w:rsidR="000269E3" w:rsidRPr="00BD011C" w:rsidRDefault="000269E3" w:rsidP="00FD6C9A">
            <w:pPr>
              <w:spacing w:before="120" w:after="120"/>
              <w:jc w:val="center"/>
              <w:rPr>
                <w:rFonts w:cs="Arial"/>
                <w:sz w:val="20"/>
              </w:rPr>
            </w:pPr>
          </w:p>
        </w:tc>
        <w:tc>
          <w:tcPr>
            <w:tcW w:w="717" w:type="dxa"/>
            <w:shd w:val="clear" w:color="auto" w:fill="FFFFFF"/>
          </w:tcPr>
          <w:p w14:paraId="7253CBEF" w14:textId="77777777" w:rsidR="000269E3" w:rsidRPr="00BD011C" w:rsidRDefault="000269E3" w:rsidP="00FD6C9A">
            <w:pPr>
              <w:spacing w:before="120" w:after="120"/>
              <w:jc w:val="center"/>
              <w:rPr>
                <w:rFonts w:cs="Arial"/>
                <w:sz w:val="20"/>
              </w:rPr>
            </w:pPr>
          </w:p>
        </w:tc>
        <w:tc>
          <w:tcPr>
            <w:tcW w:w="659" w:type="dxa"/>
            <w:shd w:val="clear" w:color="auto" w:fill="FFFFFF"/>
          </w:tcPr>
          <w:p w14:paraId="13C391FA" w14:textId="77777777" w:rsidR="000269E3" w:rsidRPr="00BD011C" w:rsidRDefault="000269E3" w:rsidP="00FD6C9A">
            <w:pPr>
              <w:spacing w:before="120" w:after="120"/>
              <w:jc w:val="center"/>
              <w:rPr>
                <w:rFonts w:cs="Arial"/>
                <w:sz w:val="20"/>
              </w:rPr>
            </w:pPr>
          </w:p>
        </w:tc>
        <w:tc>
          <w:tcPr>
            <w:tcW w:w="3121" w:type="dxa"/>
            <w:shd w:val="clear" w:color="auto" w:fill="FFFFFF"/>
          </w:tcPr>
          <w:p w14:paraId="50C3EAED" w14:textId="77777777" w:rsidR="000269E3" w:rsidRPr="00BD011C" w:rsidRDefault="000269E3" w:rsidP="00FD6C9A">
            <w:pPr>
              <w:spacing w:before="120" w:after="120"/>
              <w:jc w:val="center"/>
              <w:rPr>
                <w:rFonts w:cs="Arial"/>
                <w:sz w:val="20"/>
              </w:rPr>
            </w:pPr>
          </w:p>
        </w:tc>
      </w:tr>
      <w:tr w:rsidR="000269E3" w:rsidRPr="00BD011C" w14:paraId="735C7A40" w14:textId="77777777" w:rsidTr="001A637D">
        <w:trPr>
          <w:cantSplit/>
          <w:trHeight w:val="403"/>
        </w:trPr>
        <w:tc>
          <w:tcPr>
            <w:tcW w:w="4233" w:type="dxa"/>
            <w:shd w:val="clear" w:color="auto" w:fill="FFFFFF"/>
          </w:tcPr>
          <w:p w14:paraId="4F5012E6" w14:textId="38BCCCFE" w:rsidR="000269E3" w:rsidRPr="00BD011C" w:rsidRDefault="000269E3" w:rsidP="00FD6C9A">
            <w:pPr>
              <w:pStyle w:val="123"/>
              <w:spacing w:before="120" w:after="120"/>
              <w:rPr>
                <w:rFonts w:ascii="Arial" w:hAnsi="Arial" w:cs="Arial"/>
                <w:snapToGrid/>
              </w:rPr>
            </w:pPr>
            <w:r w:rsidRPr="00BD011C">
              <w:rPr>
                <w:rFonts w:ascii="Arial" w:hAnsi="Arial" w:cs="Arial"/>
                <w:snapToGrid/>
              </w:rPr>
              <w:t>La somme convenue aux fins de l</w:t>
            </w:r>
            <w:r w:rsidR="0095557E">
              <w:rPr>
                <w:rFonts w:ascii="Arial" w:hAnsi="Arial" w:cs="Arial"/>
                <w:snapToGrid/>
              </w:rPr>
              <w:t>’</w:t>
            </w:r>
            <w:r w:rsidRPr="00BD011C">
              <w:rPr>
                <w:rFonts w:ascii="Arial" w:hAnsi="Arial" w:cs="Arial"/>
                <w:snapToGrid/>
              </w:rPr>
              <w:t>impôt du Québec est-elle identique à celle utilisée au fédéral?</w:t>
            </w:r>
          </w:p>
          <w:p w14:paraId="4DF1E535" w14:textId="2F3A2BD6" w:rsidR="000269E3" w:rsidRPr="00BD011C" w:rsidRDefault="000269E3" w:rsidP="00FD6C9A">
            <w:pPr>
              <w:pStyle w:val="Corpsdetexte"/>
              <w:spacing w:before="120" w:after="120"/>
              <w:rPr>
                <w:rFonts w:cs="Arial"/>
                <w:i/>
                <w:sz w:val="20"/>
                <w:szCs w:val="20"/>
              </w:rPr>
            </w:pPr>
            <w:r w:rsidRPr="00BD011C">
              <w:rPr>
                <w:rFonts w:cs="Arial"/>
                <w:i/>
                <w:sz w:val="20"/>
                <w:szCs w:val="20"/>
              </w:rPr>
              <w:t>(Voir</w:t>
            </w:r>
            <w:r w:rsidR="006D7394" w:rsidRPr="00BD011C">
              <w:rPr>
                <w:rFonts w:cs="Arial"/>
                <w:i/>
                <w:sz w:val="20"/>
                <w:szCs w:val="20"/>
              </w:rPr>
              <w:t xml:space="preserve"> </w:t>
            </w:r>
            <w:r w:rsidRPr="00BD011C">
              <w:rPr>
                <w:rFonts w:cs="Arial"/>
                <w:i/>
                <w:sz w:val="20"/>
                <w:szCs w:val="20"/>
              </w:rPr>
              <w:t>article</w:t>
            </w:r>
            <w:r w:rsidR="0095557E">
              <w:rPr>
                <w:rFonts w:cs="Arial"/>
                <w:i/>
                <w:sz w:val="20"/>
                <w:szCs w:val="20"/>
              </w:rPr>
              <w:t> </w:t>
            </w:r>
            <w:r w:rsidRPr="00BD011C">
              <w:rPr>
                <w:rFonts w:cs="Arial"/>
                <w:i/>
                <w:sz w:val="20"/>
                <w:szCs w:val="20"/>
              </w:rPr>
              <w:t>521.2 de la LI)</w:t>
            </w:r>
          </w:p>
        </w:tc>
        <w:tc>
          <w:tcPr>
            <w:tcW w:w="628" w:type="dxa"/>
            <w:shd w:val="clear" w:color="auto" w:fill="FFFFFF"/>
          </w:tcPr>
          <w:p w14:paraId="53F3126C" w14:textId="77777777" w:rsidR="000269E3" w:rsidRPr="00BD011C" w:rsidRDefault="000269E3" w:rsidP="00FD6C9A">
            <w:pPr>
              <w:spacing w:before="120" w:after="120"/>
              <w:jc w:val="center"/>
              <w:rPr>
                <w:rFonts w:cs="Arial"/>
                <w:sz w:val="20"/>
              </w:rPr>
            </w:pPr>
          </w:p>
        </w:tc>
        <w:tc>
          <w:tcPr>
            <w:tcW w:w="717" w:type="dxa"/>
            <w:shd w:val="clear" w:color="auto" w:fill="FFFFFF"/>
          </w:tcPr>
          <w:p w14:paraId="2F168FDA" w14:textId="77777777" w:rsidR="000269E3" w:rsidRPr="00BD011C" w:rsidRDefault="000269E3" w:rsidP="00FD6C9A">
            <w:pPr>
              <w:spacing w:before="120" w:after="120"/>
              <w:jc w:val="center"/>
              <w:rPr>
                <w:rFonts w:cs="Arial"/>
                <w:sz w:val="20"/>
              </w:rPr>
            </w:pPr>
          </w:p>
        </w:tc>
        <w:tc>
          <w:tcPr>
            <w:tcW w:w="659" w:type="dxa"/>
            <w:shd w:val="clear" w:color="auto" w:fill="FFFFFF"/>
          </w:tcPr>
          <w:p w14:paraId="0F997723" w14:textId="77777777" w:rsidR="000269E3" w:rsidRPr="00BD011C" w:rsidRDefault="000269E3" w:rsidP="00FD6C9A">
            <w:pPr>
              <w:spacing w:before="120" w:after="120"/>
              <w:jc w:val="center"/>
              <w:rPr>
                <w:rFonts w:cs="Arial"/>
                <w:sz w:val="20"/>
              </w:rPr>
            </w:pPr>
          </w:p>
        </w:tc>
        <w:tc>
          <w:tcPr>
            <w:tcW w:w="3121" w:type="dxa"/>
            <w:shd w:val="clear" w:color="auto" w:fill="FFFFFF"/>
          </w:tcPr>
          <w:p w14:paraId="0D7C447F" w14:textId="77777777" w:rsidR="000269E3" w:rsidRPr="00BD011C" w:rsidRDefault="000269E3" w:rsidP="00FD6C9A">
            <w:pPr>
              <w:spacing w:before="120" w:after="120"/>
              <w:jc w:val="center"/>
              <w:rPr>
                <w:rFonts w:cs="Arial"/>
                <w:sz w:val="20"/>
              </w:rPr>
            </w:pPr>
          </w:p>
        </w:tc>
      </w:tr>
      <w:tr w:rsidR="000269E3" w:rsidRPr="00BD011C" w14:paraId="5B6F1D41" w14:textId="77777777" w:rsidTr="001A637D">
        <w:trPr>
          <w:cantSplit/>
          <w:trHeight w:val="403"/>
        </w:trPr>
        <w:tc>
          <w:tcPr>
            <w:tcW w:w="4233" w:type="dxa"/>
            <w:shd w:val="clear" w:color="auto" w:fill="FFFFFF"/>
          </w:tcPr>
          <w:p w14:paraId="3DCAD958" w14:textId="77777777" w:rsidR="000269E3" w:rsidRPr="00BD011C" w:rsidRDefault="000269E3" w:rsidP="00FD6C9A">
            <w:pPr>
              <w:pStyle w:val="123"/>
              <w:spacing w:before="120" w:after="120"/>
              <w:rPr>
                <w:rFonts w:ascii="Arial" w:hAnsi="Arial" w:cs="Arial"/>
                <w:snapToGrid/>
              </w:rPr>
            </w:pPr>
            <w:r w:rsidRPr="00BD011C">
              <w:rPr>
                <w:rFonts w:ascii="Arial" w:hAnsi="Arial" w:cs="Arial"/>
                <w:snapToGrid/>
              </w:rPr>
              <w:t>Dans le cas où la somme convenue aux fins de l’impôt du Québec est différente de celle utilisée au fédéral, est-ce que la proportion des affaires faites au Québec au cours de l’année du transfert est d’au moins 90 %?</w:t>
            </w:r>
          </w:p>
          <w:p w14:paraId="2A00D49F" w14:textId="1E5ADC34" w:rsidR="000269E3" w:rsidRPr="00BD011C" w:rsidRDefault="000269E3" w:rsidP="00FD6C9A">
            <w:pPr>
              <w:spacing w:before="120" w:after="120"/>
              <w:rPr>
                <w:rFonts w:cs="Arial"/>
                <w:i/>
                <w:sz w:val="20"/>
              </w:rPr>
            </w:pPr>
            <w:r w:rsidRPr="00BD011C">
              <w:rPr>
                <w:rFonts w:cs="Arial"/>
                <w:i/>
                <w:sz w:val="20"/>
              </w:rPr>
              <w:t>(Voir article</w:t>
            </w:r>
            <w:r w:rsidR="0095557E">
              <w:rPr>
                <w:rFonts w:cs="Arial"/>
                <w:i/>
                <w:sz w:val="20"/>
              </w:rPr>
              <w:t> </w:t>
            </w:r>
            <w:r w:rsidRPr="00BD011C">
              <w:rPr>
                <w:rFonts w:cs="Arial"/>
                <w:i/>
                <w:sz w:val="20"/>
              </w:rPr>
              <w:t>52</w:t>
            </w:r>
            <w:r w:rsidR="0001224B" w:rsidRPr="00BD011C">
              <w:rPr>
                <w:rFonts w:cs="Arial"/>
                <w:i/>
                <w:sz w:val="20"/>
              </w:rPr>
              <w:t>2</w:t>
            </w:r>
            <w:r w:rsidRPr="00BD011C">
              <w:rPr>
                <w:rFonts w:cs="Arial"/>
                <w:i/>
                <w:sz w:val="20"/>
              </w:rPr>
              <w:t xml:space="preserve"> de la LI</w:t>
            </w:r>
            <w:r w:rsidR="00C4115A">
              <w:rPr>
                <w:rFonts w:cs="Arial"/>
                <w:i/>
                <w:sz w:val="20"/>
              </w:rPr>
              <w:t xml:space="preserve"> et le tableau</w:t>
            </w:r>
            <w:r w:rsidR="0095557E">
              <w:rPr>
                <w:rFonts w:cs="Arial"/>
                <w:i/>
                <w:sz w:val="20"/>
              </w:rPr>
              <w:t> </w:t>
            </w:r>
            <w:r w:rsidR="00C4115A">
              <w:rPr>
                <w:rFonts w:cs="Arial"/>
                <w:i/>
                <w:sz w:val="20"/>
              </w:rPr>
              <w:t>2 du formulaire</w:t>
            </w:r>
            <w:r w:rsidR="0095557E">
              <w:rPr>
                <w:rFonts w:cs="Arial"/>
                <w:i/>
                <w:sz w:val="20"/>
              </w:rPr>
              <w:t> </w:t>
            </w:r>
            <w:r w:rsidR="00C4115A">
              <w:rPr>
                <w:rFonts w:cs="Arial"/>
                <w:i/>
                <w:sz w:val="20"/>
              </w:rPr>
              <w:t>TP-518</w:t>
            </w:r>
            <w:r w:rsidRPr="00BD011C">
              <w:rPr>
                <w:rFonts w:cs="Arial"/>
                <w:i/>
                <w:sz w:val="20"/>
              </w:rPr>
              <w:t>)</w:t>
            </w:r>
          </w:p>
        </w:tc>
        <w:tc>
          <w:tcPr>
            <w:tcW w:w="628" w:type="dxa"/>
            <w:shd w:val="clear" w:color="auto" w:fill="FFFFFF"/>
          </w:tcPr>
          <w:p w14:paraId="7CE98E75" w14:textId="77777777" w:rsidR="000269E3" w:rsidRPr="00BD011C" w:rsidRDefault="000269E3" w:rsidP="00FD6C9A">
            <w:pPr>
              <w:spacing w:before="120" w:after="120"/>
              <w:jc w:val="center"/>
              <w:rPr>
                <w:rFonts w:cs="Arial"/>
                <w:sz w:val="20"/>
              </w:rPr>
            </w:pPr>
          </w:p>
        </w:tc>
        <w:tc>
          <w:tcPr>
            <w:tcW w:w="717" w:type="dxa"/>
            <w:shd w:val="clear" w:color="auto" w:fill="FFFFFF"/>
          </w:tcPr>
          <w:p w14:paraId="270B0F46" w14:textId="77777777" w:rsidR="000269E3" w:rsidRPr="00BD011C" w:rsidRDefault="000269E3" w:rsidP="00FD6C9A">
            <w:pPr>
              <w:spacing w:before="120" w:after="120"/>
              <w:jc w:val="center"/>
              <w:rPr>
                <w:rFonts w:cs="Arial"/>
                <w:sz w:val="20"/>
              </w:rPr>
            </w:pPr>
          </w:p>
        </w:tc>
        <w:tc>
          <w:tcPr>
            <w:tcW w:w="659" w:type="dxa"/>
            <w:shd w:val="clear" w:color="auto" w:fill="FFFFFF"/>
          </w:tcPr>
          <w:p w14:paraId="6E55B224" w14:textId="77777777" w:rsidR="000269E3" w:rsidRPr="00BD011C" w:rsidRDefault="000269E3" w:rsidP="00FD6C9A">
            <w:pPr>
              <w:spacing w:before="120" w:after="120"/>
              <w:jc w:val="center"/>
              <w:rPr>
                <w:rFonts w:cs="Arial"/>
                <w:sz w:val="20"/>
              </w:rPr>
            </w:pPr>
          </w:p>
        </w:tc>
        <w:tc>
          <w:tcPr>
            <w:tcW w:w="3121" w:type="dxa"/>
            <w:shd w:val="clear" w:color="auto" w:fill="FFFFFF"/>
          </w:tcPr>
          <w:p w14:paraId="689FF461" w14:textId="77777777" w:rsidR="000269E3" w:rsidRPr="00BD011C" w:rsidRDefault="000269E3" w:rsidP="00FD6C9A">
            <w:pPr>
              <w:spacing w:before="120" w:after="120"/>
              <w:jc w:val="center"/>
              <w:rPr>
                <w:rFonts w:cs="Arial"/>
                <w:sz w:val="20"/>
              </w:rPr>
            </w:pPr>
          </w:p>
        </w:tc>
      </w:tr>
      <w:tr w:rsidR="000269E3" w:rsidRPr="00BD011C" w14:paraId="3CD006CA" w14:textId="77777777" w:rsidTr="001A637D">
        <w:trPr>
          <w:cantSplit/>
          <w:trHeight w:val="403"/>
        </w:trPr>
        <w:tc>
          <w:tcPr>
            <w:tcW w:w="4233" w:type="dxa"/>
            <w:shd w:val="clear" w:color="auto" w:fill="FFFFFF"/>
          </w:tcPr>
          <w:p w14:paraId="50C235A8" w14:textId="6F8CE02A" w:rsidR="000269E3" w:rsidRPr="00BD011C" w:rsidRDefault="000269E3" w:rsidP="00FD6C9A">
            <w:pPr>
              <w:spacing w:before="120" w:after="120"/>
              <w:rPr>
                <w:rFonts w:cs="Arial"/>
                <w:sz w:val="20"/>
              </w:rPr>
            </w:pPr>
            <w:r w:rsidRPr="00BD011C">
              <w:rPr>
                <w:rFonts w:cs="Arial"/>
                <w:sz w:val="20"/>
              </w:rPr>
              <w:t>Dans le cadre du transfert en faveur d</w:t>
            </w:r>
            <w:r w:rsidR="0095557E">
              <w:rPr>
                <w:rFonts w:cs="Arial"/>
                <w:sz w:val="20"/>
              </w:rPr>
              <w:t>’</w:t>
            </w:r>
            <w:r w:rsidRPr="00BD011C">
              <w:rPr>
                <w:rFonts w:cs="Arial"/>
                <w:sz w:val="20"/>
              </w:rPr>
              <w:t>une société liée d</w:t>
            </w:r>
            <w:r w:rsidR="0095557E">
              <w:rPr>
                <w:rFonts w:cs="Arial"/>
                <w:sz w:val="20"/>
              </w:rPr>
              <w:t>’</w:t>
            </w:r>
            <w:r w:rsidRPr="00BD011C">
              <w:rPr>
                <w:rFonts w:cs="Arial"/>
                <w:sz w:val="20"/>
              </w:rPr>
              <w:t xml:space="preserve">une voiture de tourisme </w:t>
            </w:r>
            <w:r w:rsidR="005660CD">
              <w:rPr>
                <w:rFonts w:cs="Arial"/>
                <w:sz w:val="20"/>
              </w:rPr>
              <w:t>de catégorie</w:t>
            </w:r>
            <w:r w:rsidR="00594595">
              <w:rPr>
                <w:rFonts w:cs="Arial"/>
                <w:sz w:val="20"/>
              </w:rPr>
              <w:t> </w:t>
            </w:r>
            <w:r w:rsidR="005660CD">
              <w:rPr>
                <w:rFonts w:cs="Arial"/>
                <w:sz w:val="20"/>
              </w:rPr>
              <w:t>10.1</w:t>
            </w:r>
            <w:r w:rsidR="00507564">
              <w:rPr>
                <w:rFonts w:cs="Arial"/>
                <w:sz w:val="20"/>
              </w:rPr>
              <w:t xml:space="preserve"> </w:t>
            </w:r>
            <w:r w:rsidR="00507564" w:rsidRPr="00507564">
              <w:rPr>
                <w:sz w:val="20"/>
                <w:lang w:val="fr-FR"/>
              </w:rPr>
              <w:t>ou encore d’une voiture de tourisme zéro émission incluse dans la catégorie</w:t>
            </w:r>
            <w:r w:rsidR="00594595">
              <w:rPr>
                <w:sz w:val="20"/>
                <w:lang w:val="fr-FR"/>
              </w:rPr>
              <w:t> </w:t>
            </w:r>
            <w:r w:rsidR="00507564" w:rsidRPr="00507564">
              <w:rPr>
                <w:sz w:val="20"/>
                <w:lang w:val="fr-FR"/>
              </w:rPr>
              <w:t>54, et dont le coût excède 59</w:t>
            </w:r>
            <w:r w:rsidR="00594595">
              <w:rPr>
                <w:sz w:val="20"/>
                <w:lang w:val="fr-FR"/>
              </w:rPr>
              <w:t> </w:t>
            </w:r>
            <w:r w:rsidR="00507564" w:rsidRPr="00507564">
              <w:rPr>
                <w:sz w:val="20"/>
                <w:lang w:val="fr-FR"/>
              </w:rPr>
              <w:t>000</w:t>
            </w:r>
            <w:r w:rsidR="00594595">
              <w:rPr>
                <w:sz w:val="20"/>
                <w:lang w:val="fr-FR"/>
              </w:rPr>
              <w:t> </w:t>
            </w:r>
            <w:r w:rsidR="00507564" w:rsidRPr="00507564">
              <w:rPr>
                <w:sz w:val="20"/>
                <w:lang w:val="fr-FR"/>
              </w:rPr>
              <w:t xml:space="preserve">$, </w:t>
            </w:r>
            <w:r w:rsidRPr="00BD011C">
              <w:rPr>
                <w:rFonts w:cs="Arial"/>
                <w:sz w:val="20"/>
              </w:rPr>
              <w:t>a-t-on considéré l</w:t>
            </w:r>
            <w:r w:rsidR="0095557E">
              <w:rPr>
                <w:rFonts w:cs="Arial"/>
                <w:sz w:val="20"/>
              </w:rPr>
              <w:t>’</w:t>
            </w:r>
            <w:r w:rsidRPr="00BD011C">
              <w:rPr>
                <w:rFonts w:cs="Arial"/>
                <w:sz w:val="20"/>
              </w:rPr>
              <w:t>application de l</w:t>
            </w:r>
            <w:r w:rsidR="0095557E">
              <w:rPr>
                <w:rFonts w:cs="Arial"/>
                <w:sz w:val="20"/>
              </w:rPr>
              <w:t>’</w:t>
            </w:r>
            <w:r w:rsidRPr="00BD011C">
              <w:rPr>
                <w:rFonts w:cs="Arial"/>
                <w:sz w:val="20"/>
              </w:rPr>
              <w:t>alinéa</w:t>
            </w:r>
            <w:r w:rsidR="0095557E">
              <w:rPr>
                <w:rFonts w:cs="Arial"/>
                <w:sz w:val="20"/>
              </w:rPr>
              <w:t> </w:t>
            </w:r>
            <w:r w:rsidRPr="00BD011C">
              <w:rPr>
                <w:rFonts w:cs="Arial"/>
                <w:sz w:val="20"/>
              </w:rPr>
              <w:t>85(</w:t>
            </w:r>
            <w:proofErr w:type="gramStart"/>
            <w:r w:rsidRPr="00BD011C">
              <w:rPr>
                <w:rFonts w:cs="Arial"/>
                <w:sz w:val="20"/>
              </w:rPr>
              <w:t>1)e.</w:t>
            </w:r>
            <w:proofErr w:type="gramEnd"/>
            <w:r w:rsidRPr="00BD011C">
              <w:rPr>
                <w:rFonts w:cs="Arial"/>
                <w:sz w:val="20"/>
              </w:rPr>
              <w:t>4) de la LIR et de l</w:t>
            </w:r>
            <w:r w:rsidR="0095557E">
              <w:rPr>
                <w:rFonts w:cs="Arial"/>
                <w:sz w:val="20"/>
              </w:rPr>
              <w:t>’</w:t>
            </w:r>
            <w:r w:rsidRPr="00BD011C">
              <w:rPr>
                <w:rFonts w:cs="Arial"/>
                <w:sz w:val="20"/>
              </w:rPr>
              <w:t>article</w:t>
            </w:r>
            <w:r w:rsidR="0095557E">
              <w:rPr>
                <w:rFonts w:cs="Arial"/>
                <w:sz w:val="20"/>
              </w:rPr>
              <w:t> </w:t>
            </w:r>
            <w:r w:rsidRPr="00BD011C">
              <w:rPr>
                <w:rFonts w:cs="Arial"/>
                <w:sz w:val="20"/>
              </w:rPr>
              <w:t>525.1 de la LI?</w:t>
            </w:r>
          </w:p>
        </w:tc>
        <w:tc>
          <w:tcPr>
            <w:tcW w:w="628" w:type="dxa"/>
            <w:shd w:val="clear" w:color="auto" w:fill="FFFFFF"/>
          </w:tcPr>
          <w:p w14:paraId="45914F37" w14:textId="77777777" w:rsidR="000269E3" w:rsidRPr="00BD011C" w:rsidRDefault="000269E3" w:rsidP="00FD6C9A">
            <w:pPr>
              <w:spacing w:before="120" w:after="120"/>
              <w:jc w:val="center"/>
              <w:rPr>
                <w:rFonts w:cs="Arial"/>
                <w:sz w:val="20"/>
              </w:rPr>
            </w:pPr>
          </w:p>
        </w:tc>
        <w:tc>
          <w:tcPr>
            <w:tcW w:w="717" w:type="dxa"/>
            <w:shd w:val="clear" w:color="auto" w:fill="FFFFFF"/>
          </w:tcPr>
          <w:p w14:paraId="7298BB02" w14:textId="77777777" w:rsidR="000269E3" w:rsidRPr="00BD011C" w:rsidRDefault="000269E3" w:rsidP="00FD6C9A">
            <w:pPr>
              <w:spacing w:before="120" w:after="120"/>
              <w:jc w:val="center"/>
              <w:rPr>
                <w:rFonts w:cs="Arial"/>
                <w:sz w:val="20"/>
              </w:rPr>
            </w:pPr>
          </w:p>
        </w:tc>
        <w:tc>
          <w:tcPr>
            <w:tcW w:w="659" w:type="dxa"/>
            <w:shd w:val="clear" w:color="auto" w:fill="FFFFFF"/>
          </w:tcPr>
          <w:p w14:paraId="684B273F" w14:textId="77777777" w:rsidR="000269E3" w:rsidRPr="00BD011C" w:rsidRDefault="000269E3" w:rsidP="00FD6C9A">
            <w:pPr>
              <w:spacing w:before="120" w:after="120"/>
              <w:jc w:val="center"/>
              <w:rPr>
                <w:rFonts w:cs="Arial"/>
                <w:sz w:val="20"/>
              </w:rPr>
            </w:pPr>
          </w:p>
        </w:tc>
        <w:tc>
          <w:tcPr>
            <w:tcW w:w="3121" w:type="dxa"/>
            <w:shd w:val="clear" w:color="auto" w:fill="FFFFFF"/>
          </w:tcPr>
          <w:p w14:paraId="262D8EE7" w14:textId="77777777" w:rsidR="000269E3" w:rsidRPr="00BD011C" w:rsidRDefault="000269E3" w:rsidP="00FD6C9A">
            <w:pPr>
              <w:spacing w:before="120" w:after="120"/>
              <w:jc w:val="center"/>
              <w:rPr>
                <w:rFonts w:cs="Arial"/>
                <w:sz w:val="20"/>
              </w:rPr>
            </w:pPr>
          </w:p>
        </w:tc>
      </w:tr>
      <w:tr w:rsidR="000269E3" w:rsidRPr="00BD011C" w14:paraId="2E9231D4" w14:textId="77777777" w:rsidTr="001A637D">
        <w:trPr>
          <w:cantSplit/>
          <w:trHeight w:val="403"/>
        </w:trPr>
        <w:tc>
          <w:tcPr>
            <w:tcW w:w="4233" w:type="dxa"/>
            <w:shd w:val="clear" w:color="auto" w:fill="FFFFFF"/>
          </w:tcPr>
          <w:p w14:paraId="13A1492E" w14:textId="64A99A9C" w:rsidR="000269E3" w:rsidRPr="00BD011C" w:rsidRDefault="000269E3" w:rsidP="00FD6C9A">
            <w:pPr>
              <w:spacing w:before="120" w:after="120"/>
              <w:rPr>
                <w:rFonts w:cs="Arial"/>
                <w:sz w:val="20"/>
              </w:rPr>
            </w:pPr>
            <w:r w:rsidRPr="00BD011C">
              <w:rPr>
                <w:rFonts w:cs="Arial"/>
                <w:sz w:val="20"/>
              </w:rPr>
              <w:t xml:space="preserve">Dans le cadre de la </w:t>
            </w:r>
            <w:r w:rsidR="00DE43DD" w:rsidRPr="00BD011C">
              <w:rPr>
                <w:rFonts w:cs="Arial"/>
                <w:sz w:val="20"/>
              </w:rPr>
              <w:t>cession</w:t>
            </w:r>
            <w:r w:rsidR="00714C63" w:rsidRPr="00BD011C">
              <w:rPr>
                <w:rFonts w:cs="Arial"/>
                <w:sz w:val="20"/>
              </w:rPr>
              <w:t>,</w:t>
            </w:r>
            <w:r w:rsidRPr="00BD011C">
              <w:rPr>
                <w:rFonts w:cs="Arial"/>
                <w:sz w:val="20"/>
              </w:rPr>
              <w:t xml:space="preserve"> en faveur d</w:t>
            </w:r>
            <w:r w:rsidR="0095557E">
              <w:rPr>
                <w:rFonts w:cs="Arial"/>
                <w:sz w:val="20"/>
              </w:rPr>
              <w:t>’</w:t>
            </w:r>
            <w:r w:rsidRPr="00BD011C">
              <w:rPr>
                <w:rFonts w:cs="Arial"/>
                <w:sz w:val="20"/>
              </w:rPr>
              <w:t xml:space="preserve">une société </w:t>
            </w:r>
            <w:r w:rsidR="00FD3B12" w:rsidRPr="00BD011C">
              <w:rPr>
                <w:rFonts w:cs="Arial"/>
                <w:sz w:val="20"/>
              </w:rPr>
              <w:t>affili</w:t>
            </w:r>
            <w:r w:rsidRPr="00BD011C">
              <w:rPr>
                <w:rFonts w:cs="Arial"/>
                <w:sz w:val="20"/>
              </w:rPr>
              <w:t>ée, d</w:t>
            </w:r>
            <w:r w:rsidR="0095557E">
              <w:rPr>
                <w:rFonts w:cs="Arial"/>
                <w:sz w:val="20"/>
              </w:rPr>
              <w:t>’</w:t>
            </w:r>
            <w:r w:rsidRPr="00BD011C">
              <w:rPr>
                <w:rFonts w:cs="Arial"/>
                <w:sz w:val="20"/>
              </w:rPr>
              <w:t xml:space="preserve">un bien amortissable dont </w:t>
            </w:r>
            <w:smartTag w:uri="urn:schemas-microsoft-com:office:smarttags" w:element="PersonName">
              <w:smartTagPr>
                <w:attr w:name="ProductID" w:val="la JVM"/>
              </w:smartTagPr>
              <w:r w:rsidRPr="00BD011C">
                <w:rPr>
                  <w:rFonts w:cs="Arial"/>
                  <w:sz w:val="20"/>
                </w:rPr>
                <w:t>la JVM</w:t>
              </w:r>
            </w:smartTag>
            <w:r w:rsidRPr="00BD011C">
              <w:rPr>
                <w:rFonts w:cs="Arial"/>
                <w:sz w:val="20"/>
              </w:rPr>
              <w:t xml:space="preserve"> est inférieure au coût et au «</w:t>
            </w:r>
            <w:r w:rsidR="0095557E">
              <w:rPr>
                <w:rFonts w:cs="Arial"/>
                <w:sz w:val="20"/>
              </w:rPr>
              <w:t> </w:t>
            </w:r>
            <w:r w:rsidRPr="00BD011C">
              <w:rPr>
                <w:rFonts w:cs="Arial"/>
                <w:sz w:val="20"/>
              </w:rPr>
              <w:t>montant proportionnel</w:t>
            </w:r>
            <w:r w:rsidR="0095557E">
              <w:rPr>
                <w:rFonts w:cs="Arial"/>
                <w:sz w:val="20"/>
              </w:rPr>
              <w:t> </w:t>
            </w:r>
            <w:r w:rsidRPr="00BD011C">
              <w:rPr>
                <w:rFonts w:cs="Arial"/>
                <w:sz w:val="20"/>
              </w:rPr>
              <w:t>» de la fraction non amortie du coût en capital, a-t-on considéré l</w:t>
            </w:r>
            <w:r w:rsidR="0095557E">
              <w:rPr>
                <w:rFonts w:cs="Arial"/>
                <w:sz w:val="20"/>
              </w:rPr>
              <w:t>’</w:t>
            </w:r>
            <w:r w:rsidRPr="00BD011C">
              <w:rPr>
                <w:rFonts w:cs="Arial"/>
                <w:sz w:val="20"/>
              </w:rPr>
              <w:t>application d</w:t>
            </w:r>
            <w:r w:rsidR="0072168F" w:rsidRPr="00BD011C">
              <w:rPr>
                <w:rFonts w:cs="Arial"/>
                <w:sz w:val="20"/>
              </w:rPr>
              <w:t>u</w:t>
            </w:r>
            <w:r w:rsidRPr="00BD011C">
              <w:rPr>
                <w:rFonts w:cs="Arial"/>
                <w:sz w:val="20"/>
              </w:rPr>
              <w:t xml:space="preserve"> </w:t>
            </w:r>
            <w:r w:rsidR="0072168F" w:rsidRPr="00BD011C">
              <w:rPr>
                <w:rFonts w:cs="Arial"/>
                <w:sz w:val="20"/>
              </w:rPr>
              <w:t>paragraphe</w:t>
            </w:r>
            <w:r w:rsidR="0095557E">
              <w:rPr>
                <w:rFonts w:cs="Arial"/>
                <w:sz w:val="20"/>
              </w:rPr>
              <w:t> </w:t>
            </w:r>
            <w:r w:rsidRPr="00BD011C">
              <w:rPr>
                <w:rFonts w:cs="Arial"/>
                <w:sz w:val="20"/>
              </w:rPr>
              <w:t>13(21.</w:t>
            </w:r>
            <w:r w:rsidR="00DE43DD" w:rsidRPr="00BD011C">
              <w:rPr>
                <w:rFonts w:cs="Arial"/>
                <w:sz w:val="20"/>
              </w:rPr>
              <w:t>2</w:t>
            </w:r>
            <w:r w:rsidRPr="00BD011C">
              <w:rPr>
                <w:rFonts w:cs="Arial"/>
                <w:sz w:val="20"/>
              </w:rPr>
              <w:t xml:space="preserve">) de </w:t>
            </w:r>
            <w:smartTag w:uri="urn:schemas-microsoft-com:office:smarttags" w:element="PersonName">
              <w:smartTagPr>
                <w:attr w:name="ProductID" w:val="la LIR"/>
              </w:smartTagPr>
              <w:r w:rsidRPr="00BD011C">
                <w:rPr>
                  <w:rFonts w:cs="Arial"/>
                  <w:sz w:val="20"/>
                </w:rPr>
                <w:t>la LIR</w:t>
              </w:r>
            </w:smartTag>
            <w:r w:rsidRPr="00BD011C">
              <w:rPr>
                <w:rFonts w:cs="Arial"/>
                <w:sz w:val="20"/>
              </w:rPr>
              <w:t xml:space="preserve"> et de </w:t>
            </w:r>
            <w:r w:rsidR="00DE43DD" w:rsidRPr="00BD011C">
              <w:rPr>
                <w:rFonts w:cs="Arial"/>
                <w:sz w:val="20"/>
              </w:rPr>
              <w:t>l’</w:t>
            </w:r>
            <w:r w:rsidRPr="00BD011C">
              <w:rPr>
                <w:rFonts w:cs="Arial"/>
                <w:sz w:val="20"/>
              </w:rPr>
              <w:t>article</w:t>
            </w:r>
            <w:r w:rsidR="0095557E">
              <w:rPr>
                <w:rFonts w:cs="Arial"/>
                <w:sz w:val="20"/>
              </w:rPr>
              <w:t> </w:t>
            </w:r>
            <w:r w:rsidR="00DE43DD" w:rsidRPr="00BD011C">
              <w:rPr>
                <w:rFonts w:cs="Arial"/>
                <w:sz w:val="20"/>
              </w:rPr>
              <w:t xml:space="preserve">93.3.1 </w:t>
            </w:r>
            <w:r w:rsidRPr="00BD011C">
              <w:rPr>
                <w:rFonts w:cs="Arial"/>
                <w:sz w:val="20"/>
              </w:rPr>
              <w:t>de la LI?</w:t>
            </w:r>
          </w:p>
        </w:tc>
        <w:tc>
          <w:tcPr>
            <w:tcW w:w="628" w:type="dxa"/>
            <w:shd w:val="clear" w:color="auto" w:fill="FFFFFF"/>
          </w:tcPr>
          <w:p w14:paraId="2D811C5D" w14:textId="77777777" w:rsidR="000269E3" w:rsidRPr="00BD011C" w:rsidRDefault="000269E3" w:rsidP="00FD6C9A">
            <w:pPr>
              <w:spacing w:before="120" w:after="120"/>
              <w:jc w:val="center"/>
              <w:rPr>
                <w:rFonts w:cs="Arial"/>
                <w:sz w:val="20"/>
              </w:rPr>
            </w:pPr>
          </w:p>
        </w:tc>
        <w:tc>
          <w:tcPr>
            <w:tcW w:w="717" w:type="dxa"/>
            <w:shd w:val="clear" w:color="auto" w:fill="FFFFFF"/>
          </w:tcPr>
          <w:p w14:paraId="4D29ED88" w14:textId="77777777" w:rsidR="000269E3" w:rsidRPr="00BD011C" w:rsidRDefault="000269E3" w:rsidP="00FD6C9A">
            <w:pPr>
              <w:spacing w:before="120" w:after="120"/>
              <w:jc w:val="center"/>
              <w:rPr>
                <w:rFonts w:cs="Arial"/>
                <w:sz w:val="20"/>
              </w:rPr>
            </w:pPr>
          </w:p>
        </w:tc>
        <w:tc>
          <w:tcPr>
            <w:tcW w:w="659" w:type="dxa"/>
            <w:shd w:val="clear" w:color="auto" w:fill="FFFFFF"/>
          </w:tcPr>
          <w:p w14:paraId="5C8A5AC3" w14:textId="77777777" w:rsidR="000269E3" w:rsidRPr="00BD011C" w:rsidRDefault="000269E3" w:rsidP="00FD6C9A">
            <w:pPr>
              <w:spacing w:before="120" w:after="120"/>
              <w:jc w:val="center"/>
              <w:rPr>
                <w:rFonts w:cs="Arial"/>
                <w:sz w:val="20"/>
              </w:rPr>
            </w:pPr>
          </w:p>
        </w:tc>
        <w:tc>
          <w:tcPr>
            <w:tcW w:w="3121" w:type="dxa"/>
            <w:shd w:val="clear" w:color="auto" w:fill="FFFFFF"/>
          </w:tcPr>
          <w:p w14:paraId="42C8DB4F" w14:textId="77777777" w:rsidR="000269E3" w:rsidRPr="00BD011C" w:rsidRDefault="000269E3" w:rsidP="00FD6C9A">
            <w:pPr>
              <w:spacing w:before="120" w:after="120"/>
              <w:jc w:val="center"/>
              <w:rPr>
                <w:rFonts w:cs="Arial"/>
                <w:sz w:val="20"/>
              </w:rPr>
            </w:pPr>
          </w:p>
        </w:tc>
      </w:tr>
      <w:tr w:rsidR="000269E3" w:rsidRPr="00BD011C" w14:paraId="04565CCD" w14:textId="77777777" w:rsidTr="001A637D">
        <w:trPr>
          <w:cantSplit/>
          <w:trHeight w:val="403"/>
        </w:trPr>
        <w:tc>
          <w:tcPr>
            <w:tcW w:w="4233" w:type="dxa"/>
            <w:shd w:val="clear" w:color="auto" w:fill="FFFFFF"/>
          </w:tcPr>
          <w:p w14:paraId="398E5A79" w14:textId="2696148A" w:rsidR="000269E3" w:rsidRPr="00BD011C" w:rsidRDefault="000269E3" w:rsidP="00FD6C9A">
            <w:pPr>
              <w:pStyle w:val="123"/>
              <w:spacing w:before="120" w:after="120"/>
              <w:rPr>
                <w:rFonts w:ascii="Arial" w:hAnsi="Arial" w:cs="Arial"/>
                <w:snapToGrid/>
              </w:rPr>
            </w:pPr>
            <w:r w:rsidRPr="00BD011C">
              <w:rPr>
                <w:rFonts w:ascii="Arial" w:hAnsi="Arial" w:cs="Arial"/>
                <w:snapToGrid/>
              </w:rPr>
              <w:lastRenderedPageBreak/>
              <w:t xml:space="preserve">Si un gain en capital a été réalisé lors du </w:t>
            </w:r>
            <w:r w:rsidR="006048FC" w:rsidRPr="00BD011C">
              <w:rPr>
                <w:rFonts w:ascii="Arial" w:hAnsi="Arial" w:cs="Arial"/>
                <w:snapToGrid/>
              </w:rPr>
              <w:t>transfert d</w:t>
            </w:r>
            <w:r w:rsidRPr="00BD011C">
              <w:rPr>
                <w:rFonts w:ascii="Arial" w:hAnsi="Arial" w:cs="Arial"/>
                <w:snapToGrid/>
              </w:rPr>
              <w:t>e biens amortissables en faveur d</w:t>
            </w:r>
            <w:r w:rsidR="0095557E">
              <w:rPr>
                <w:rFonts w:ascii="Arial" w:hAnsi="Arial" w:cs="Arial"/>
                <w:snapToGrid/>
              </w:rPr>
              <w:t>’</w:t>
            </w:r>
            <w:r w:rsidRPr="00BD011C">
              <w:rPr>
                <w:rFonts w:ascii="Arial" w:hAnsi="Arial" w:cs="Arial"/>
                <w:snapToGrid/>
              </w:rPr>
              <w:t xml:space="preserve">une personne </w:t>
            </w:r>
            <w:r w:rsidR="0079397C">
              <w:rPr>
                <w:rFonts w:ascii="Arial" w:hAnsi="Arial" w:cs="Arial"/>
                <w:snapToGrid/>
              </w:rPr>
              <w:t>ayant un lien de dépendance</w:t>
            </w:r>
            <w:r w:rsidRPr="00BD011C">
              <w:rPr>
                <w:rFonts w:ascii="Arial" w:hAnsi="Arial" w:cs="Arial"/>
                <w:snapToGrid/>
              </w:rPr>
              <w:t>, la réduction du coût en capital des biens du cessionnaire a-t-elle été effectuée pour les fins de la déduction future pour amortissement?</w:t>
            </w:r>
          </w:p>
          <w:p w14:paraId="2531A03C" w14:textId="52251EDE" w:rsidR="000269E3" w:rsidRPr="00BD011C" w:rsidRDefault="000269E3" w:rsidP="00FD6C9A">
            <w:pPr>
              <w:spacing w:before="120" w:after="120"/>
              <w:rPr>
                <w:rFonts w:cs="Arial"/>
                <w:sz w:val="20"/>
              </w:rPr>
            </w:pPr>
            <w:r w:rsidRPr="00BD011C">
              <w:rPr>
                <w:rFonts w:cs="Arial"/>
                <w:sz w:val="20"/>
              </w:rPr>
              <w:t>(</w:t>
            </w:r>
            <w:r w:rsidRPr="00BD011C">
              <w:rPr>
                <w:rFonts w:cs="Arial"/>
                <w:i/>
                <w:sz w:val="20"/>
              </w:rPr>
              <w:t>Voir alinéa</w:t>
            </w:r>
            <w:r w:rsidR="0095557E">
              <w:rPr>
                <w:rFonts w:cs="Arial"/>
                <w:i/>
                <w:sz w:val="20"/>
              </w:rPr>
              <w:t> </w:t>
            </w:r>
            <w:r w:rsidRPr="00BD011C">
              <w:rPr>
                <w:rFonts w:cs="Arial"/>
                <w:i/>
                <w:sz w:val="20"/>
              </w:rPr>
              <w:t>13(7</w:t>
            </w:r>
            <w:r w:rsidR="00DE43DD" w:rsidRPr="00BD011C">
              <w:rPr>
                <w:rFonts w:cs="Arial"/>
                <w:i/>
                <w:sz w:val="20"/>
              </w:rPr>
              <w:t>)</w:t>
            </w:r>
            <w:r w:rsidRPr="00BD011C">
              <w:rPr>
                <w:rFonts w:cs="Arial"/>
                <w:i/>
                <w:sz w:val="20"/>
              </w:rPr>
              <w:t xml:space="preserve">e) de la LIR et </w:t>
            </w:r>
            <w:r w:rsidR="00DE43DD" w:rsidRPr="00BD011C">
              <w:rPr>
                <w:rFonts w:cs="Arial"/>
                <w:i/>
                <w:sz w:val="20"/>
              </w:rPr>
              <w:t>alinéa</w:t>
            </w:r>
            <w:r w:rsidR="0095557E">
              <w:rPr>
                <w:rFonts w:cs="Arial"/>
                <w:i/>
                <w:sz w:val="20"/>
              </w:rPr>
              <w:t> </w:t>
            </w:r>
            <w:r w:rsidRPr="00BD011C">
              <w:rPr>
                <w:rFonts w:cs="Arial"/>
                <w:i/>
                <w:sz w:val="20"/>
              </w:rPr>
              <w:t>99</w:t>
            </w:r>
            <w:r w:rsidR="00DE43DD" w:rsidRPr="00BD011C">
              <w:rPr>
                <w:rFonts w:cs="Arial"/>
                <w:i/>
                <w:sz w:val="20"/>
              </w:rPr>
              <w:t>(d.1)</w:t>
            </w:r>
            <w:r w:rsidRPr="00BD011C">
              <w:rPr>
                <w:rFonts w:cs="Arial"/>
                <w:i/>
                <w:sz w:val="20"/>
              </w:rPr>
              <w:t xml:space="preserve"> de la LI</w:t>
            </w:r>
            <w:r w:rsidRPr="00BD011C">
              <w:rPr>
                <w:rFonts w:cs="Arial"/>
                <w:sz w:val="20"/>
              </w:rPr>
              <w:t>)</w:t>
            </w:r>
          </w:p>
        </w:tc>
        <w:tc>
          <w:tcPr>
            <w:tcW w:w="628" w:type="dxa"/>
            <w:shd w:val="clear" w:color="auto" w:fill="FFFFFF"/>
          </w:tcPr>
          <w:p w14:paraId="7BDCF430" w14:textId="77777777" w:rsidR="000269E3" w:rsidRPr="00BD011C" w:rsidRDefault="000269E3" w:rsidP="00FD6C9A">
            <w:pPr>
              <w:spacing w:before="120" w:after="120"/>
              <w:jc w:val="center"/>
              <w:rPr>
                <w:rFonts w:cs="Arial"/>
                <w:sz w:val="20"/>
              </w:rPr>
            </w:pPr>
          </w:p>
        </w:tc>
        <w:tc>
          <w:tcPr>
            <w:tcW w:w="717" w:type="dxa"/>
            <w:shd w:val="clear" w:color="auto" w:fill="FFFFFF"/>
          </w:tcPr>
          <w:p w14:paraId="6690BFD5" w14:textId="77777777" w:rsidR="000269E3" w:rsidRPr="00BD011C" w:rsidRDefault="000269E3" w:rsidP="00FD6C9A">
            <w:pPr>
              <w:spacing w:before="120" w:after="120"/>
              <w:jc w:val="center"/>
              <w:rPr>
                <w:rFonts w:cs="Arial"/>
                <w:sz w:val="20"/>
              </w:rPr>
            </w:pPr>
          </w:p>
        </w:tc>
        <w:tc>
          <w:tcPr>
            <w:tcW w:w="659" w:type="dxa"/>
            <w:shd w:val="clear" w:color="auto" w:fill="FFFFFF"/>
          </w:tcPr>
          <w:p w14:paraId="5A1C4BE2" w14:textId="77777777" w:rsidR="000269E3" w:rsidRPr="00BD011C" w:rsidRDefault="000269E3" w:rsidP="00FD6C9A">
            <w:pPr>
              <w:spacing w:before="120" w:after="120"/>
              <w:jc w:val="center"/>
              <w:rPr>
                <w:rFonts w:cs="Arial"/>
                <w:sz w:val="20"/>
              </w:rPr>
            </w:pPr>
          </w:p>
        </w:tc>
        <w:tc>
          <w:tcPr>
            <w:tcW w:w="3121" w:type="dxa"/>
            <w:shd w:val="clear" w:color="auto" w:fill="FFFFFF"/>
          </w:tcPr>
          <w:p w14:paraId="0A980076" w14:textId="77777777" w:rsidR="000269E3" w:rsidRPr="00BD011C" w:rsidRDefault="000269E3" w:rsidP="00FD6C9A">
            <w:pPr>
              <w:spacing w:before="120" w:after="120"/>
              <w:jc w:val="center"/>
              <w:rPr>
                <w:rFonts w:cs="Arial"/>
                <w:sz w:val="20"/>
              </w:rPr>
            </w:pPr>
          </w:p>
        </w:tc>
      </w:tr>
      <w:tr w:rsidR="000269E3" w:rsidRPr="00BD011C" w14:paraId="51B7F793" w14:textId="77777777" w:rsidTr="001A637D">
        <w:trPr>
          <w:cantSplit/>
          <w:trHeight w:val="403"/>
        </w:trPr>
        <w:tc>
          <w:tcPr>
            <w:tcW w:w="4233" w:type="dxa"/>
            <w:shd w:val="clear" w:color="auto" w:fill="FFFFFF"/>
          </w:tcPr>
          <w:p w14:paraId="0032E537" w14:textId="77777777" w:rsidR="000269E3" w:rsidRPr="00BD011C" w:rsidRDefault="000269E3" w:rsidP="00FD6C9A">
            <w:pPr>
              <w:pStyle w:val="123"/>
              <w:spacing w:before="120" w:after="120"/>
              <w:rPr>
                <w:rFonts w:ascii="Arial" w:hAnsi="Arial" w:cs="Arial"/>
                <w:snapToGrid/>
              </w:rPr>
            </w:pPr>
            <w:r w:rsidRPr="00BD011C">
              <w:rPr>
                <w:rFonts w:ascii="Arial" w:hAnsi="Arial" w:cs="Arial"/>
                <w:snapToGrid/>
              </w:rPr>
              <w:t>Avant de procéder au roulement de biens amortissables :</w:t>
            </w:r>
          </w:p>
          <w:p w14:paraId="3B90200F" w14:textId="4BAE6D83" w:rsidR="000269E3" w:rsidRPr="00BD011C" w:rsidRDefault="000269E3" w:rsidP="00FD6C9A">
            <w:pPr>
              <w:pStyle w:val="a"/>
              <w:numPr>
                <w:ilvl w:val="0"/>
                <w:numId w:val="13"/>
              </w:numPr>
              <w:spacing w:after="120"/>
              <w:rPr>
                <w:rFonts w:ascii="Arial" w:hAnsi="Arial" w:cs="Arial"/>
                <w:sz w:val="20"/>
              </w:rPr>
            </w:pPr>
            <w:proofErr w:type="gramStart"/>
            <w:r w:rsidRPr="00BD011C">
              <w:rPr>
                <w:rFonts w:ascii="Arial" w:hAnsi="Arial" w:cs="Arial"/>
                <w:sz w:val="20"/>
              </w:rPr>
              <w:t>les</w:t>
            </w:r>
            <w:proofErr w:type="gramEnd"/>
            <w:r w:rsidRPr="00BD011C">
              <w:rPr>
                <w:rFonts w:ascii="Arial" w:hAnsi="Arial" w:cs="Arial"/>
                <w:sz w:val="20"/>
              </w:rPr>
              <w:t xml:space="preserve"> conséquences fiscales de la déduction pour amortissement dans l</w:t>
            </w:r>
            <w:r w:rsidR="0095557E">
              <w:rPr>
                <w:rFonts w:ascii="Arial" w:hAnsi="Arial" w:cs="Arial"/>
                <w:sz w:val="20"/>
              </w:rPr>
              <w:t>’</w:t>
            </w:r>
            <w:r w:rsidRPr="00BD011C">
              <w:rPr>
                <w:rFonts w:ascii="Arial" w:hAnsi="Arial" w:cs="Arial"/>
                <w:sz w:val="20"/>
              </w:rPr>
              <w:t>année du transfert ont-elles été considérées pour le cédant et le cessionnaire?</w:t>
            </w:r>
          </w:p>
          <w:p w14:paraId="232AB851" w14:textId="305A316C" w:rsidR="000269E3" w:rsidRPr="00BD011C" w:rsidRDefault="000269E3" w:rsidP="00FD6C9A">
            <w:pPr>
              <w:pStyle w:val="Corpsdetexte"/>
              <w:spacing w:before="120" w:after="120"/>
              <w:jc w:val="left"/>
              <w:rPr>
                <w:rFonts w:cs="Arial"/>
                <w:sz w:val="20"/>
              </w:rPr>
            </w:pPr>
            <w:r w:rsidRPr="00FD6C9A">
              <w:rPr>
                <w:rFonts w:cs="Arial"/>
                <w:i/>
                <w:sz w:val="20"/>
                <w:szCs w:val="20"/>
              </w:rPr>
              <w:t>(Voir alinéa</w:t>
            </w:r>
            <w:r w:rsidR="0095557E">
              <w:rPr>
                <w:rFonts w:cs="Arial"/>
                <w:i/>
                <w:sz w:val="20"/>
                <w:szCs w:val="20"/>
              </w:rPr>
              <w:t> </w:t>
            </w:r>
            <w:r w:rsidRPr="00FD6C9A">
              <w:rPr>
                <w:rFonts w:cs="Arial"/>
                <w:i/>
                <w:sz w:val="20"/>
                <w:szCs w:val="20"/>
              </w:rPr>
              <w:t>20(1)a) de la LIR et article</w:t>
            </w:r>
            <w:r w:rsidR="0095557E">
              <w:rPr>
                <w:rFonts w:cs="Arial"/>
                <w:i/>
                <w:sz w:val="20"/>
                <w:szCs w:val="20"/>
              </w:rPr>
              <w:t> </w:t>
            </w:r>
            <w:r w:rsidRPr="00FD6C9A">
              <w:rPr>
                <w:rFonts w:cs="Arial"/>
                <w:i/>
                <w:sz w:val="20"/>
                <w:szCs w:val="20"/>
              </w:rPr>
              <w:t>1100(2) du Règlement de la LIR et alinéa</w:t>
            </w:r>
            <w:r w:rsidR="0095557E">
              <w:rPr>
                <w:rFonts w:cs="Arial"/>
                <w:i/>
                <w:sz w:val="20"/>
                <w:szCs w:val="20"/>
              </w:rPr>
              <w:t> </w:t>
            </w:r>
            <w:r w:rsidRPr="00FD6C9A">
              <w:rPr>
                <w:rFonts w:cs="Arial"/>
                <w:i/>
                <w:sz w:val="20"/>
                <w:szCs w:val="20"/>
              </w:rPr>
              <w:t>130(a) de la LI et article</w:t>
            </w:r>
            <w:r w:rsidR="00FD6C9A" w:rsidRPr="00FD6C9A">
              <w:rPr>
                <w:rFonts w:cs="Arial"/>
                <w:i/>
                <w:sz w:val="20"/>
                <w:szCs w:val="20"/>
              </w:rPr>
              <w:t>s</w:t>
            </w:r>
            <w:r w:rsidR="0095557E">
              <w:rPr>
                <w:rFonts w:cs="Arial"/>
                <w:i/>
                <w:sz w:val="20"/>
                <w:szCs w:val="20"/>
              </w:rPr>
              <w:t> </w:t>
            </w:r>
            <w:r w:rsidR="0014297D" w:rsidRPr="00FD6C9A">
              <w:rPr>
                <w:rFonts w:cs="Arial"/>
                <w:i/>
                <w:sz w:val="20"/>
                <w:szCs w:val="20"/>
              </w:rPr>
              <w:t>130R119 et 130R120</w:t>
            </w:r>
            <w:r w:rsidRPr="00FD6C9A">
              <w:rPr>
                <w:rFonts w:cs="Arial"/>
                <w:i/>
                <w:sz w:val="20"/>
                <w:szCs w:val="20"/>
              </w:rPr>
              <w:t xml:space="preserve"> du Règlement de la LI</w:t>
            </w:r>
            <w:r w:rsidR="00C51628" w:rsidRPr="00FD6C9A">
              <w:rPr>
                <w:rFonts w:cs="Arial"/>
                <w:i/>
                <w:sz w:val="20"/>
                <w:szCs w:val="20"/>
              </w:rPr>
              <w:t>)</w:t>
            </w:r>
          </w:p>
        </w:tc>
        <w:tc>
          <w:tcPr>
            <w:tcW w:w="628" w:type="dxa"/>
            <w:shd w:val="clear" w:color="auto" w:fill="FFFFFF"/>
          </w:tcPr>
          <w:p w14:paraId="38EDCD9F" w14:textId="77777777" w:rsidR="000269E3" w:rsidRPr="00BD011C" w:rsidRDefault="000269E3" w:rsidP="00FD6C9A">
            <w:pPr>
              <w:spacing w:before="120" w:after="120"/>
              <w:jc w:val="center"/>
              <w:rPr>
                <w:rFonts w:cs="Arial"/>
                <w:sz w:val="20"/>
              </w:rPr>
            </w:pPr>
          </w:p>
        </w:tc>
        <w:tc>
          <w:tcPr>
            <w:tcW w:w="717" w:type="dxa"/>
            <w:shd w:val="clear" w:color="auto" w:fill="FFFFFF"/>
          </w:tcPr>
          <w:p w14:paraId="15F63092" w14:textId="77777777" w:rsidR="000269E3" w:rsidRPr="00BD011C" w:rsidRDefault="000269E3" w:rsidP="00FD6C9A">
            <w:pPr>
              <w:spacing w:before="120" w:after="120"/>
              <w:jc w:val="center"/>
              <w:rPr>
                <w:rFonts w:cs="Arial"/>
                <w:sz w:val="20"/>
              </w:rPr>
            </w:pPr>
          </w:p>
        </w:tc>
        <w:tc>
          <w:tcPr>
            <w:tcW w:w="659" w:type="dxa"/>
            <w:shd w:val="clear" w:color="auto" w:fill="FFFFFF"/>
          </w:tcPr>
          <w:p w14:paraId="20B2026B" w14:textId="77777777" w:rsidR="000269E3" w:rsidRPr="00BD011C" w:rsidRDefault="000269E3" w:rsidP="00FD6C9A">
            <w:pPr>
              <w:spacing w:before="120" w:after="120"/>
              <w:jc w:val="center"/>
              <w:rPr>
                <w:rFonts w:cs="Arial"/>
                <w:sz w:val="20"/>
              </w:rPr>
            </w:pPr>
          </w:p>
        </w:tc>
        <w:tc>
          <w:tcPr>
            <w:tcW w:w="3121" w:type="dxa"/>
            <w:shd w:val="clear" w:color="auto" w:fill="FFFFFF"/>
          </w:tcPr>
          <w:p w14:paraId="6813913E" w14:textId="77777777" w:rsidR="000269E3" w:rsidRPr="00BD011C" w:rsidRDefault="000269E3" w:rsidP="00FD6C9A">
            <w:pPr>
              <w:spacing w:before="120" w:after="120"/>
              <w:jc w:val="center"/>
              <w:rPr>
                <w:rFonts w:cs="Arial"/>
                <w:sz w:val="20"/>
              </w:rPr>
            </w:pPr>
          </w:p>
        </w:tc>
      </w:tr>
      <w:tr w:rsidR="000269E3" w:rsidRPr="00BD011C" w14:paraId="1589D91B" w14:textId="77777777" w:rsidTr="001A637D">
        <w:trPr>
          <w:cantSplit/>
          <w:trHeight w:val="403"/>
        </w:trPr>
        <w:tc>
          <w:tcPr>
            <w:tcW w:w="4233" w:type="dxa"/>
            <w:shd w:val="clear" w:color="auto" w:fill="FFFFFF"/>
          </w:tcPr>
          <w:p w14:paraId="19A1AC81" w14:textId="7E672836" w:rsidR="000269E3" w:rsidRPr="00BD011C" w:rsidRDefault="000269E3" w:rsidP="00FD6C9A">
            <w:pPr>
              <w:pStyle w:val="a"/>
              <w:numPr>
                <w:ilvl w:val="0"/>
                <w:numId w:val="14"/>
              </w:numPr>
              <w:spacing w:before="120" w:after="120"/>
              <w:rPr>
                <w:rFonts w:ascii="Arial" w:hAnsi="Arial" w:cs="Arial"/>
              </w:rPr>
            </w:pPr>
            <w:r w:rsidRPr="00BD011C">
              <w:rPr>
                <w:rFonts w:ascii="Arial" w:hAnsi="Arial" w:cs="Arial"/>
                <w:sz w:val="20"/>
              </w:rPr>
              <w:t>Une fin d</w:t>
            </w:r>
            <w:r w:rsidR="0095557E">
              <w:rPr>
                <w:rFonts w:ascii="Arial" w:hAnsi="Arial" w:cs="Arial"/>
                <w:sz w:val="20"/>
              </w:rPr>
              <w:t>’</w:t>
            </w:r>
            <w:r w:rsidRPr="00BD011C">
              <w:rPr>
                <w:rFonts w:ascii="Arial" w:hAnsi="Arial" w:cs="Arial"/>
                <w:sz w:val="20"/>
              </w:rPr>
              <w:t>exercice prématurée a-t-elle été considérée pour permettre au cédant de profiter de la déduction pour amortissement?</w:t>
            </w:r>
          </w:p>
        </w:tc>
        <w:tc>
          <w:tcPr>
            <w:tcW w:w="628" w:type="dxa"/>
            <w:shd w:val="clear" w:color="auto" w:fill="FFFFFF"/>
          </w:tcPr>
          <w:p w14:paraId="6A638C21" w14:textId="77777777" w:rsidR="000269E3" w:rsidRPr="00BD011C" w:rsidRDefault="000269E3" w:rsidP="00FD6C9A">
            <w:pPr>
              <w:spacing w:before="120" w:after="120"/>
              <w:jc w:val="center"/>
              <w:rPr>
                <w:rFonts w:cs="Arial"/>
              </w:rPr>
            </w:pPr>
          </w:p>
        </w:tc>
        <w:tc>
          <w:tcPr>
            <w:tcW w:w="717" w:type="dxa"/>
            <w:shd w:val="clear" w:color="auto" w:fill="FFFFFF"/>
          </w:tcPr>
          <w:p w14:paraId="0803C1D5" w14:textId="77777777" w:rsidR="000269E3" w:rsidRPr="00BD011C" w:rsidRDefault="000269E3" w:rsidP="00FD6C9A">
            <w:pPr>
              <w:spacing w:before="120" w:after="120"/>
              <w:jc w:val="center"/>
              <w:rPr>
                <w:rFonts w:cs="Arial"/>
              </w:rPr>
            </w:pPr>
          </w:p>
        </w:tc>
        <w:tc>
          <w:tcPr>
            <w:tcW w:w="659" w:type="dxa"/>
            <w:shd w:val="clear" w:color="auto" w:fill="FFFFFF"/>
          </w:tcPr>
          <w:p w14:paraId="132FB4D0" w14:textId="77777777" w:rsidR="000269E3" w:rsidRPr="00BD011C" w:rsidRDefault="000269E3" w:rsidP="00FD6C9A">
            <w:pPr>
              <w:spacing w:before="120" w:after="120"/>
              <w:jc w:val="center"/>
              <w:rPr>
                <w:rFonts w:cs="Arial"/>
              </w:rPr>
            </w:pPr>
          </w:p>
        </w:tc>
        <w:tc>
          <w:tcPr>
            <w:tcW w:w="3121" w:type="dxa"/>
            <w:shd w:val="clear" w:color="auto" w:fill="FFFFFF"/>
          </w:tcPr>
          <w:p w14:paraId="28385E64" w14:textId="77777777" w:rsidR="000269E3" w:rsidRPr="00BD011C" w:rsidRDefault="000269E3" w:rsidP="00FD6C9A">
            <w:pPr>
              <w:spacing w:before="120" w:after="120"/>
              <w:jc w:val="center"/>
              <w:rPr>
                <w:rFonts w:cs="Arial"/>
              </w:rPr>
            </w:pPr>
          </w:p>
        </w:tc>
      </w:tr>
      <w:tr w:rsidR="000269E3" w:rsidRPr="00BD011C" w14:paraId="5B004B31" w14:textId="77777777" w:rsidTr="001A637D">
        <w:trPr>
          <w:cantSplit/>
          <w:trHeight w:val="403"/>
        </w:trPr>
        <w:tc>
          <w:tcPr>
            <w:tcW w:w="4233" w:type="dxa"/>
            <w:shd w:val="clear" w:color="auto" w:fill="FFFFFF"/>
          </w:tcPr>
          <w:p w14:paraId="645A8BD1" w14:textId="008254C8" w:rsidR="00FD6C9A" w:rsidRDefault="000269E3" w:rsidP="00FD6C9A">
            <w:pPr>
              <w:pStyle w:val="a"/>
              <w:numPr>
                <w:ilvl w:val="0"/>
                <w:numId w:val="15"/>
              </w:numPr>
              <w:spacing w:before="120" w:after="120"/>
              <w:rPr>
                <w:rFonts w:ascii="Arial" w:hAnsi="Arial" w:cs="Arial"/>
              </w:rPr>
            </w:pPr>
            <w:r w:rsidRPr="00BD011C">
              <w:rPr>
                <w:rFonts w:ascii="Arial" w:hAnsi="Arial" w:cs="Arial"/>
                <w:sz w:val="20"/>
              </w:rPr>
              <w:t>Le cessionnaire a-t-il considéré qu</w:t>
            </w:r>
            <w:r w:rsidR="0095557E">
              <w:rPr>
                <w:rFonts w:ascii="Arial" w:hAnsi="Arial" w:cs="Arial"/>
                <w:sz w:val="20"/>
              </w:rPr>
              <w:t>’</w:t>
            </w:r>
            <w:r w:rsidRPr="00BD011C">
              <w:rPr>
                <w:rFonts w:ascii="Arial" w:hAnsi="Arial" w:cs="Arial"/>
                <w:sz w:val="20"/>
              </w:rPr>
              <w:t>il héritait du coût en capital des biens du cédant et possiblement de sa récupération future d</w:t>
            </w:r>
            <w:r w:rsidR="0095557E">
              <w:rPr>
                <w:rFonts w:ascii="Arial" w:hAnsi="Arial" w:cs="Arial"/>
                <w:sz w:val="20"/>
              </w:rPr>
              <w:t>’</w:t>
            </w:r>
            <w:r w:rsidRPr="00BD011C">
              <w:rPr>
                <w:rFonts w:ascii="Arial" w:hAnsi="Arial" w:cs="Arial"/>
                <w:sz w:val="20"/>
              </w:rPr>
              <w:t>amortissement?</w:t>
            </w:r>
            <w:r w:rsidR="00B27B4B" w:rsidRPr="00BD011C">
              <w:rPr>
                <w:rFonts w:ascii="Arial" w:hAnsi="Arial" w:cs="Arial"/>
              </w:rPr>
              <w:t xml:space="preserve"> </w:t>
            </w:r>
          </w:p>
          <w:p w14:paraId="00B2B4CF" w14:textId="13F3147C" w:rsidR="00B27B4B" w:rsidRPr="00BD011C" w:rsidRDefault="00B27B4B" w:rsidP="00FD6C9A">
            <w:pPr>
              <w:pStyle w:val="a"/>
              <w:spacing w:before="120" w:after="120"/>
              <w:ind w:left="0"/>
              <w:rPr>
                <w:rFonts w:ascii="Arial" w:hAnsi="Arial" w:cs="Arial"/>
              </w:rPr>
            </w:pPr>
            <w:r w:rsidRPr="00BD011C">
              <w:rPr>
                <w:rFonts w:ascii="Arial" w:hAnsi="Arial" w:cs="Arial"/>
                <w:sz w:val="20"/>
              </w:rPr>
              <w:t>(</w:t>
            </w:r>
            <w:r w:rsidRPr="00BD011C">
              <w:rPr>
                <w:rFonts w:ascii="Arial" w:hAnsi="Arial" w:cs="Arial"/>
                <w:i/>
                <w:sz w:val="20"/>
              </w:rPr>
              <w:t>Voir paragraphes</w:t>
            </w:r>
            <w:r w:rsidR="0095557E">
              <w:rPr>
                <w:rFonts w:ascii="Arial" w:hAnsi="Arial" w:cs="Arial"/>
                <w:i/>
                <w:sz w:val="20"/>
              </w:rPr>
              <w:t> </w:t>
            </w:r>
            <w:r w:rsidRPr="00BD011C">
              <w:rPr>
                <w:rFonts w:ascii="Arial" w:hAnsi="Arial" w:cs="Arial"/>
                <w:i/>
                <w:sz w:val="20"/>
              </w:rPr>
              <w:t>85(5) et 85(5.1) de la LIR et article</w:t>
            </w:r>
            <w:r w:rsidR="00FD3B12" w:rsidRPr="00BD011C">
              <w:rPr>
                <w:rFonts w:ascii="Arial" w:hAnsi="Arial" w:cs="Arial"/>
                <w:i/>
                <w:sz w:val="20"/>
              </w:rPr>
              <w:t>s</w:t>
            </w:r>
            <w:r w:rsidR="0095557E">
              <w:rPr>
                <w:rFonts w:ascii="Arial" w:hAnsi="Arial" w:cs="Arial"/>
                <w:i/>
                <w:sz w:val="20"/>
              </w:rPr>
              <w:t> </w:t>
            </w:r>
            <w:r w:rsidR="00BE47E7" w:rsidRPr="00BD011C">
              <w:rPr>
                <w:rFonts w:ascii="Arial" w:hAnsi="Arial" w:cs="Arial"/>
                <w:i/>
                <w:sz w:val="20"/>
              </w:rPr>
              <w:t>5</w:t>
            </w:r>
            <w:r w:rsidRPr="00BD011C">
              <w:rPr>
                <w:rFonts w:ascii="Arial" w:hAnsi="Arial" w:cs="Arial"/>
                <w:i/>
                <w:sz w:val="20"/>
              </w:rPr>
              <w:t>27</w:t>
            </w:r>
            <w:r w:rsidR="00FD3B12" w:rsidRPr="00BD011C">
              <w:rPr>
                <w:rFonts w:ascii="Arial" w:hAnsi="Arial" w:cs="Arial"/>
                <w:i/>
                <w:sz w:val="20"/>
              </w:rPr>
              <w:t xml:space="preserve"> et 527.3</w:t>
            </w:r>
            <w:r w:rsidRPr="00BD011C">
              <w:rPr>
                <w:rFonts w:ascii="Arial" w:hAnsi="Arial" w:cs="Arial"/>
                <w:i/>
                <w:sz w:val="20"/>
              </w:rPr>
              <w:t xml:space="preserve"> de la LI)</w:t>
            </w:r>
          </w:p>
        </w:tc>
        <w:tc>
          <w:tcPr>
            <w:tcW w:w="628" w:type="dxa"/>
            <w:shd w:val="clear" w:color="auto" w:fill="FFFFFF"/>
          </w:tcPr>
          <w:p w14:paraId="62CF218B" w14:textId="77777777" w:rsidR="000269E3" w:rsidRPr="00BD011C" w:rsidRDefault="000269E3" w:rsidP="00FD6C9A">
            <w:pPr>
              <w:spacing w:before="120" w:after="120"/>
              <w:jc w:val="center"/>
              <w:rPr>
                <w:rFonts w:cs="Arial"/>
              </w:rPr>
            </w:pPr>
          </w:p>
        </w:tc>
        <w:tc>
          <w:tcPr>
            <w:tcW w:w="717" w:type="dxa"/>
            <w:shd w:val="clear" w:color="auto" w:fill="FFFFFF"/>
          </w:tcPr>
          <w:p w14:paraId="3F46C21D" w14:textId="77777777" w:rsidR="000269E3" w:rsidRPr="00BD011C" w:rsidRDefault="000269E3" w:rsidP="00FD6C9A">
            <w:pPr>
              <w:spacing w:before="120" w:after="120"/>
              <w:jc w:val="center"/>
              <w:rPr>
                <w:rFonts w:cs="Arial"/>
              </w:rPr>
            </w:pPr>
          </w:p>
        </w:tc>
        <w:tc>
          <w:tcPr>
            <w:tcW w:w="659" w:type="dxa"/>
            <w:shd w:val="clear" w:color="auto" w:fill="FFFFFF"/>
          </w:tcPr>
          <w:p w14:paraId="1891B811" w14:textId="77777777" w:rsidR="000269E3" w:rsidRPr="00BD011C" w:rsidRDefault="000269E3" w:rsidP="00FD6C9A">
            <w:pPr>
              <w:spacing w:before="120" w:after="120"/>
              <w:jc w:val="center"/>
              <w:rPr>
                <w:rFonts w:cs="Arial"/>
              </w:rPr>
            </w:pPr>
          </w:p>
        </w:tc>
        <w:tc>
          <w:tcPr>
            <w:tcW w:w="3121" w:type="dxa"/>
            <w:shd w:val="clear" w:color="auto" w:fill="FFFFFF"/>
          </w:tcPr>
          <w:p w14:paraId="294F1C60" w14:textId="77777777" w:rsidR="000269E3" w:rsidRPr="00BD011C" w:rsidRDefault="000269E3" w:rsidP="00FD6C9A">
            <w:pPr>
              <w:spacing w:before="120" w:after="120"/>
              <w:jc w:val="center"/>
              <w:rPr>
                <w:rFonts w:cs="Arial"/>
              </w:rPr>
            </w:pPr>
          </w:p>
        </w:tc>
      </w:tr>
      <w:tr w:rsidR="000269E3" w:rsidRPr="00BD011C" w14:paraId="31153543" w14:textId="77777777" w:rsidTr="001A637D">
        <w:trPr>
          <w:cantSplit/>
          <w:trHeight w:val="403"/>
        </w:trPr>
        <w:tc>
          <w:tcPr>
            <w:tcW w:w="4233" w:type="dxa"/>
            <w:shd w:val="clear" w:color="auto" w:fill="FFFFFF"/>
          </w:tcPr>
          <w:p w14:paraId="3551791C" w14:textId="77777777" w:rsidR="000269E3" w:rsidRPr="00BD011C" w:rsidRDefault="000269E3" w:rsidP="00FD6C9A">
            <w:pPr>
              <w:pStyle w:val="123"/>
              <w:spacing w:before="120" w:after="120"/>
              <w:rPr>
                <w:rFonts w:ascii="Arial" w:hAnsi="Arial" w:cs="Arial"/>
              </w:rPr>
            </w:pPr>
            <w:r w:rsidRPr="00BD011C">
              <w:rPr>
                <w:rFonts w:ascii="Arial" w:hAnsi="Arial" w:cs="Arial"/>
                <w:snapToGrid/>
              </w:rPr>
              <w:t xml:space="preserve">Votre dossier comporte-t-il les feuilles de travail nécessaires pour supporter la </w:t>
            </w:r>
            <w:r w:rsidR="00682787" w:rsidRPr="00BD011C">
              <w:rPr>
                <w:rFonts w:ascii="Arial" w:hAnsi="Arial" w:cs="Arial"/>
                <w:snapToGrid/>
              </w:rPr>
              <w:t>JVM</w:t>
            </w:r>
            <w:r w:rsidRPr="00BD011C">
              <w:rPr>
                <w:rFonts w:ascii="Arial" w:hAnsi="Arial" w:cs="Arial"/>
                <w:snapToGrid/>
              </w:rPr>
              <w:t xml:space="preserve"> des biens transférés?</w:t>
            </w:r>
          </w:p>
        </w:tc>
        <w:tc>
          <w:tcPr>
            <w:tcW w:w="628" w:type="dxa"/>
            <w:shd w:val="clear" w:color="auto" w:fill="FFFFFF"/>
          </w:tcPr>
          <w:p w14:paraId="119FE6A4" w14:textId="77777777" w:rsidR="000269E3" w:rsidRPr="00BD011C" w:rsidRDefault="000269E3" w:rsidP="00FD6C9A">
            <w:pPr>
              <w:spacing w:before="120" w:after="120"/>
              <w:jc w:val="center"/>
              <w:rPr>
                <w:rFonts w:cs="Arial"/>
                <w:sz w:val="20"/>
              </w:rPr>
            </w:pPr>
          </w:p>
        </w:tc>
        <w:tc>
          <w:tcPr>
            <w:tcW w:w="717" w:type="dxa"/>
            <w:shd w:val="clear" w:color="auto" w:fill="FFFFFF"/>
          </w:tcPr>
          <w:p w14:paraId="3E5FCF49" w14:textId="77777777" w:rsidR="000269E3" w:rsidRPr="00BD011C" w:rsidRDefault="000269E3" w:rsidP="00FD6C9A">
            <w:pPr>
              <w:spacing w:before="120" w:after="120"/>
              <w:jc w:val="center"/>
              <w:rPr>
                <w:rFonts w:cs="Arial"/>
                <w:sz w:val="20"/>
              </w:rPr>
            </w:pPr>
          </w:p>
        </w:tc>
        <w:tc>
          <w:tcPr>
            <w:tcW w:w="659" w:type="dxa"/>
            <w:shd w:val="clear" w:color="auto" w:fill="FFFFFF"/>
          </w:tcPr>
          <w:p w14:paraId="7C9FF5B6" w14:textId="77777777" w:rsidR="000269E3" w:rsidRPr="00BD011C" w:rsidRDefault="000269E3" w:rsidP="00FD6C9A">
            <w:pPr>
              <w:spacing w:before="120" w:after="120"/>
              <w:jc w:val="center"/>
              <w:rPr>
                <w:rFonts w:cs="Arial"/>
                <w:sz w:val="20"/>
              </w:rPr>
            </w:pPr>
          </w:p>
        </w:tc>
        <w:tc>
          <w:tcPr>
            <w:tcW w:w="3121" w:type="dxa"/>
            <w:shd w:val="clear" w:color="auto" w:fill="FFFFFF"/>
          </w:tcPr>
          <w:p w14:paraId="1FA2514A" w14:textId="77777777" w:rsidR="000269E3" w:rsidRPr="00BD011C" w:rsidRDefault="000269E3" w:rsidP="00FD6C9A">
            <w:pPr>
              <w:spacing w:before="120" w:after="120"/>
              <w:jc w:val="center"/>
              <w:rPr>
                <w:rFonts w:cs="Arial"/>
                <w:sz w:val="20"/>
              </w:rPr>
            </w:pPr>
          </w:p>
        </w:tc>
      </w:tr>
      <w:tr w:rsidR="000269E3" w:rsidRPr="00BD011C" w14:paraId="49E47AC9" w14:textId="77777777" w:rsidTr="001A637D">
        <w:trPr>
          <w:cantSplit/>
          <w:trHeight w:val="403"/>
        </w:trPr>
        <w:tc>
          <w:tcPr>
            <w:tcW w:w="4233" w:type="dxa"/>
            <w:shd w:val="clear" w:color="auto" w:fill="FFFFFF"/>
          </w:tcPr>
          <w:p w14:paraId="15A919B8" w14:textId="77777777" w:rsidR="000269E3" w:rsidRPr="00BD011C" w:rsidRDefault="000269E3" w:rsidP="00FD6C9A">
            <w:pPr>
              <w:pStyle w:val="Titre2"/>
              <w:keepNext w:val="0"/>
              <w:spacing w:before="120" w:after="120"/>
              <w:rPr>
                <w:rFonts w:cs="Arial"/>
                <w:b w:val="0"/>
                <w:sz w:val="20"/>
              </w:rPr>
            </w:pPr>
            <w:bookmarkStart w:id="18" w:name="_Toc368571836"/>
            <w:r w:rsidRPr="00BD011C">
              <w:rPr>
                <w:rFonts w:cs="Arial"/>
              </w:rPr>
              <w:lastRenderedPageBreak/>
              <w:t>Section C</w:t>
            </w:r>
            <w:r w:rsidRPr="00BD011C">
              <w:rPr>
                <w:rFonts w:cs="Arial"/>
              </w:rPr>
              <w:cr/>
              <w:t>Capital versé (CV), prix de base rajusté (</w:t>
            </w:r>
            <w:r w:rsidR="00B27B4B" w:rsidRPr="00BD011C">
              <w:rPr>
                <w:rFonts w:cs="Arial"/>
              </w:rPr>
              <w:t>P</w:t>
            </w:r>
            <w:r w:rsidRPr="00BD011C">
              <w:rPr>
                <w:rFonts w:cs="Arial"/>
              </w:rPr>
              <w:t>BR) et coût indiqué</w:t>
            </w:r>
            <w:bookmarkEnd w:id="18"/>
          </w:p>
          <w:p w14:paraId="134C5B2C" w14:textId="77777777" w:rsidR="000269E3" w:rsidRPr="00BD011C" w:rsidRDefault="000269E3" w:rsidP="00FD6C9A">
            <w:pPr>
              <w:pStyle w:val="123"/>
              <w:spacing w:before="120" w:after="120"/>
              <w:rPr>
                <w:rFonts w:ascii="Arial" w:hAnsi="Arial" w:cs="Arial"/>
                <w:snapToGrid/>
              </w:rPr>
            </w:pPr>
            <w:r w:rsidRPr="00BD011C">
              <w:rPr>
                <w:rFonts w:ascii="Arial" w:hAnsi="Arial" w:cs="Arial"/>
                <w:snapToGrid/>
              </w:rPr>
              <w:t>Le coût indiqué des biens transférés est-il déterminé?</w:t>
            </w:r>
            <w:r w:rsidR="004A359B" w:rsidRPr="00BD011C">
              <w:rPr>
                <w:rFonts w:ascii="Arial" w:hAnsi="Arial" w:cs="Arial"/>
                <w:snapToGrid/>
              </w:rPr>
              <w:t xml:space="preserve"> </w:t>
            </w:r>
          </w:p>
          <w:p w14:paraId="73526AB7" w14:textId="4CA8FDB9" w:rsidR="000269E3" w:rsidRPr="00BD011C" w:rsidRDefault="000269E3" w:rsidP="00FD6C9A">
            <w:pPr>
              <w:pStyle w:val="soustitre1"/>
              <w:spacing w:before="120" w:after="120"/>
              <w:rPr>
                <w:rFonts w:ascii="Arial" w:hAnsi="Arial" w:cs="Arial"/>
                <w:sz w:val="20"/>
              </w:rPr>
            </w:pPr>
            <w:r w:rsidRPr="00BD011C">
              <w:rPr>
                <w:rFonts w:ascii="Arial" w:hAnsi="Arial" w:cs="Arial"/>
                <w:sz w:val="20"/>
              </w:rPr>
              <w:t>(</w:t>
            </w:r>
            <w:r w:rsidRPr="00BD011C">
              <w:rPr>
                <w:rFonts w:ascii="Arial" w:hAnsi="Arial" w:cs="Arial"/>
                <w:i/>
                <w:sz w:val="20"/>
              </w:rPr>
              <w:t>Voir article</w:t>
            </w:r>
            <w:r w:rsidR="0095557E">
              <w:rPr>
                <w:rFonts w:ascii="Arial" w:hAnsi="Arial" w:cs="Arial"/>
                <w:i/>
                <w:sz w:val="20"/>
              </w:rPr>
              <w:t> </w:t>
            </w:r>
            <w:r w:rsidRPr="00BD011C">
              <w:rPr>
                <w:rFonts w:ascii="Arial" w:hAnsi="Arial" w:cs="Arial"/>
                <w:i/>
                <w:sz w:val="20"/>
              </w:rPr>
              <w:t>248(1) de la LIR et article</w:t>
            </w:r>
            <w:r w:rsidR="0095557E">
              <w:rPr>
                <w:rFonts w:ascii="Arial" w:hAnsi="Arial" w:cs="Arial"/>
                <w:i/>
                <w:sz w:val="20"/>
              </w:rPr>
              <w:t> </w:t>
            </w:r>
            <w:r w:rsidRPr="00BD011C">
              <w:rPr>
                <w:rFonts w:ascii="Arial" w:hAnsi="Arial" w:cs="Arial"/>
                <w:i/>
                <w:sz w:val="20"/>
              </w:rPr>
              <w:t>1 de la LI</w:t>
            </w:r>
            <w:r w:rsidRPr="00BD011C">
              <w:rPr>
                <w:rFonts w:ascii="Arial" w:hAnsi="Arial" w:cs="Arial"/>
                <w:sz w:val="20"/>
              </w:rPr>
              <w:t>)</w:t>
            </w:r>
          </w:p>
          <w:p w14:paraId="3BD4F67A" w14:textId="77777777" w:rsidR="00D60B67" w:rsidRPr="00BD011C" w:rsidRDefault="00D60B67" w:rsidP="00FD6C9A">
            <w:pPr>
              <w:pStyle w:val="soustitre1"/>
              <w:spacing w:before="120" w:after="120"/>
              <w:rPr>
                <w:rFonts w:ascii="Arial" w:hAnsi="Arial" w:cs="Arial"/>
                <w:sz w:val="20"/>
              </w:rPr>
            </w:pPr>
            <w:r w:rsidRPr="00BD011C">
              <w:rPr>
                <w:rFonts w:ascii="Arial" w:hAnsi="Arial" w:cs="Arial"/>
                <w:sz w:val="20"/>
              </w:rPr>
              <w:t xml:space="preserve">Le capital </w:t>
            </w:r>
            <w:r w:rsidR="0008523F" w:rsidRPr="00BD011C">
              <w:rPr>
                <w:rFonts w:ascii="Arial" w:hAnsi="Arial" w:cs="Arial"/>
                <w:sz w:val="20"/>
              </w:rPr>
              <w:t xml:space="preserve">versé </w:t>
            </w:r>
            <w:r w:rsidRPr="00BD011C">
              <w:rPr>
                <w:rFonts w:ascii="Arial" w:hAnsi="Arial" w:cs="Arial"/>
                <w:sz w:val="20"/>
              </w:rPr>
              <w:t xml:space="preserve">fiscal peut être différent du capital versé </w:t>
            </w:r>
            <w:r w:rsidR="00F90479" w:rsidRPr="00BD011C">
              <w:rPr>
                <w:rFonts w:ascii="Arial" w:hAnsi="Arial" w:cs="Arial"/>
                <w:sz w:val="20"/>
              </w:rPr>
              <w:t xml:space="preserve">légal ou du capital versé </w:t>
            </w:r>
            <w:r w:rsidRPr="00BD011C">
              <w:rPr>
                <w:rFonts w:ascii="Arial" w:hAnsi="Arial" w:cs="Arial"/>
                <w:sz w:val="20"/>
              </w:rPr>
              <w:t>qui apparaît aux états financiers de la société.</w:t>
            </w:r>
          </w:p>
          <w:p w14:paraId="740073DE" w14:textId="38F8B525" w:rsidR="00D60B67" w:rsidRPr="00BD011C" w:rsidRDefault="00D60B67" w:rsidP="00FD6C9A">
            <w:pPr>
              <w:pStyle w:val="soustitre1"/>
              <w:spacing w:before="120" w:after="120"/>
              <w:rPr>
                <w:rFonts w:ascii="Arial" w:hAnsi="Arial" w:cs="Arial"/>
                <w:i/>
                <w:sz w:val="24"/>
              </w:rPr>
            </w:pPr>
            <w:r w:rsidRPr="00BD011C">
              <w:rPr>
                <w:rFonts w:ascii="Arial" w:hAnsi="Arial" w:cs="Arial"/>
                <w:i/>
                <w:sz w:val="20"/>
              </w:rPr>
              <w:t>(Voir paragraphe</w:t>
            </w:r>
            <w:r w:rsidR="0095557E">
              <w:rPr>
                <w:rFonts w:ascii="Arial" w:hAnsi="Arial" w:cs="Arial"/>
                <w:i/>
                <w:sz w:val="20"/>
              </w:rPr>
              <w:t> </w:t>
            </w:r>
            <w:r w:rsidRPr="00BD011C">
              <w:rPr>
                <w:rFonts w:ascii="Arial" w:hAnsi="Arial" w:cs="Arial"/>
                <w:i/>
                <w:sz w:val="20"/>
              </w:rPr>
              <w:t xml:space="preserve">89(1) de la LIR et </w:t>
            </w:r>
            <w:r w:rsidR="004E2A1A">
              <w:rPr>
                <w:rFonts w:ascii="Arial" w:hAnsi="Arial" w:cs="Arial"/>
                <w:i/>
                <w:sz w:val="20"/>
              </w:rPr>
              <w:t>article </w:t>
            </w:r>
            <w:r w:rsidR="00F90479" w:rsidRPr="00BD011C">
              <w:rPr>
                <w:rFonts w:ascii="Arial" w:hAnsi="Arial" w:cs="Arial"/>
                <w:i/>
                <w:sz w:val="20"/>
              </w:rPr>
              <w:t xml:space="preserve">570 de la LI; </w:t>
            </w:r>
            <w:r w:rsidRPr="00BD011C">
              <w:rPr>
                <w:rFonts w:ascii="Arial" w:hAnsi="Arial" w:cs="Arial"/>
                <w:i/>
                <w:sz w:val="20"/>
              </w:rPr>
              <w:t>articles pertinents des lois corporatives)</w:t>
            </w:r>
          </w:p>
        </w:tc>
        <w:tc>
          <w:tcPr>
            <w:tcW w:w="628" w:type="dxa"/>
            <w:shd w:val="clear" w:color="auto" w:fill="FFFFFF"/>
          </w:tcPr>
          <w:p w14:paraId="506A0BC6" w14:textId="77777777" w:rsidR="000269E3" w:rsidRPr="00BD011C" w:rsidRDefault="000269E3" w:rsidP="00FD6C9A">
            <w:pPr>
              <w:spacing w:before="120" w:after="120"/>
              <w:jc w:val="center"/>
              <w:rPr>
                <w:rFonts w:cs="Arial"/>
              </w:rPr>
            </w:pPr>
          </w:p>
        </w:tc>
        <w:tc>
          <w:tcPr>
            <w:tcW w:w="717" w:type="dxa"/>
            <w:shd w:val="clear" w:color="auto" w:fill="FFFFFF"/>
          </w:tcPr>
          <w:p w14:paraId="0F529C26" w14:textId="77777777" w:rsidR="000269E3" w:rsidRPr="00BD011C" w:rsidRDefault="000269E3" w:rsidP="00FD6C9A">
            <w:pPr>
              <w:spacing w:before="120" w:after="120"/>
              <w:jc w:val="center"/>
              <w:rPr>
                <w:rFonts w:cs="Arial"/>
              </w:rPr>
            </w:pPr>
          </w:p>
        </w:tc>
        <w:tc>
          <w:tcPr>
            <w:tcW w:w="659" w:type="dxa"/>
            <w:shd w:val="clear" w:color="auto" w:fill="FFFFFF"/>
          </w:tcPr>
          <w:p w14:paraId="6F3D22E3" w14:textId="77777777" w:rsidR="000269E3" w:rsidRPr="00BD011C" w:rsidRDefault="000269E3" w:rsidP="00FD6C9A">
            <w:pPr>
              <w:spacing w:before="120" w:after="120"/>
              <w:jc w:val="center"/>
              <w:rPr>
                <w:rFonts w:cs="Arial"/>
              </w:rPr>
            </w:pPr>
          </w:p>
        </w:tc>
        <w:tc>
          <w:tcPr>
            <w:tcW w:w="3121" w:type="dxa"/>
            <w:shd w:val="clear" w:color="auto" w:fill="FFFFFF"/>
          </w:tcPr>
          <w:p w14:paraId="17704A70" w14:textId="77777777" w:rsidR="000269E3" w:rsidRPr="00BD011C" w:rsidRDefault="000269E3" w:rsidP="00FD6C9A">
            <w:pPr>
              <w:spacing w:before="120" w:after="120"/>
              <w:jc w:val="center"/>
              <w:rPr>
                <w:rFonts w:cs="Arial"/>
              </w:rPr>
            </w:pPr>
          </w:p>
        </w:tc>
      </w:tr>
      <w:tr w:rsidR="000269E3" w:rsidRPr="00BD011C" w14:paraId="331EE57A" w14:textId="77777777" w:rsidTr="001A637D">
        <w:trPr>
          <w:cantSplit/>
          <w:trHeight w:val="403"/>
        </w:trPr>
        <w:tc>
          <w:tcPr>
            <w:tcW w:w="4233" w:type="dxa"/>
            <w:shd w:val="clear" w:color="auto" w:fill="FFFFFF"/>
          </w:tcPr>
          <w:p w14:paraId="5D475187" w14:textId="0EB2E22F" w:rsidR="007C29B9" w:rsidRPr="00BD011C" w:rsidRDefault="000269E3" w:rsidP="00FD6C9A">
            <w:pPr>
              <w:pStyle w:val="123"/>
              <w:spacing w:before="120" w:after="120"/>
              <w:rPr>
                <w:rFonts w:ascii="Arial" w:hAnsi="Arial" w:cs="Arial"/>
                <w:snapToGrid/>
              </w:rPr>
            </w:pPr>
            <w:r w:rsidRPr="00BD011C">
              <w:rPr>
                <w:rFonts w:ascii="Arial" w:hAnsi="Arial" w:cs="Arial"/>
                <w:snapToGrid/>
              </w:rPr>
              <w:t>Lors d</w:t>
            </w:r>
            <w:r w:rsidR="0095557E">
              <w:rPr>
                <w:rFonts w:ascii="Arial" w:hAnsi="Arial" w:cs="Arial"/>
                <w:snapToGrid/>
              </w:rPr>
              <w:t>’</w:t>
            </w:r>
            <w:r w:rsidRPr="00BD011C">
              <w:rPr>
                <w:rFonts w:ascii="Arial" w:hAnsi="Arial" w:cs="Arial"/>
                <w:snapToGrid/>
              </w:rPr>
              <w:t>un transfert d</w:t>
            </w:r>
            <w:r w:rsidR="0095557E">
              <w:rPr>
                <w:rFonts w:ascii="Arial" w:hAnsi="Arial" w:cs="Arial"/>
                <w:snapToGrid/>
              </w:rPr>
              <w:t>’</w:t>
            </w:r>
            <w:r w:rsidRPr="00BD011C">
              <w:rPr>
                <w:rFonts w:ascii="Arial" w:hAnsi="Arial" w:cs="Arial"/>
                <w:snapToGrid/>
              </w:rPr>
              <w:t>actions qui ont fait l</w:t>
            </w:r>
            <w:r w:rsidR="0095557E">
              <w:rPr>
                <w:rFonts w:ascii="Arial" w:hAnsi="Arial" w:cs="Arial"/>
                <w:snapToGrid/>
              </w:rPr>
              <w:t>’</w:t>
            </w:r>
            <w:r w:rsidRPr="00BD011C">
              <w:rPr>
                <w:rFonts w:ascii="Arial" w:hAnsi="Arial" w:cs="Arial"/>
                <w:snapToGrid/>
              </w:rPr>
              <w:t xml:space="preserve">objet de transactions antérieures entre personnes ayant un lien de dépendance, le CV </w:t>
            </w:r>
            <w:r w:rsidR="000B302B" w:rsidRPr="00BD011C">
              <w:rPr>
                <w:rFonts w:ascii="Arial" w:hAnsi="Arial" w:cs="Arial"/>
                <w:snapToGrid/>
              </w:rPr>
              <w:t xml:space="preserve">fiscal </w:t>
            </w:r>
            <w:r w:rsidRPr="00BD011C">
              <w:rPr>
                <w:rFonts w:ascii="Arial" w:hAnsi="Arial" w:cs="Arial"/>
                <w:snapToGrid/>
              </w:rPr>
              <w:t>et le PBR de ces actions ont-ils été identifiés?</w:t>
            </w:r>
          </w:p>
          <w:p w14:paraId="140F8016" w14:textId="3C3D1AEE" w:rsidR="007C29B9" w:rsidRPr="00BD011C" w:rsidRDefault="000269E3" w:rsidP="00FD6C9A">
            <w:pPr>
              <w:spacing w:before="120" w:after="120"/>
              <w:rPr>
                <w:rFonts w:cs="Arial"/>
                <w:sz w:val="20"/>
              </w:rPr>
            </w:pPr>
            <w:r w:rsidRPr="00BD011C">
              <w:rPr>
                <w:rFonts w:cs="Arial"/>
                <w:sz w:val="20"/>
              </w:rPr>
              <w:t>(</w:t>
            </w:r>
            <w:r w:rsidRPr="00BD011C">
              <w:rPr>
                <w:rFonts w:cs="Arial"/>
                <w:i/>
                <w:sz w:val="20"/>
              </w:rPr>
              <w:t>Voir articles</w:t>
            </w:r>
            <w:r w:rsidR="0095557E">
              <w:rPr>
                <w:rFonts w:cs="Arial"/>
                <w:i/>
                <w:sz w:val="20"/>
              </w:rPr>
              <w:t> </w:t>
            </w:r>
            <w:r w:rsidRPr="00BD011C">
              <w:rPr>
                <w:rFonts w:cs="Arial"/>
                <w:i/>
                <w:sz w:val="20"/>
              </w:rPr>
              <w:t>84.1,</w:t>
            </w:r>
            <w:r w:rsidR="0072168F" w:rsidRPr="00BD011C">
              <w:rPr>
                <w:rFonts w:cs="Arial"/>
                <w:i/>
                <w:sz w:val="20"/>
              </w:rPr>
              <w:t xml:space="preserve"> 212.1 et paragraphe</w:t>
            </w:r>
            <w:r w:rsidR="004E2A1A">
              <w:rPr>
                <w:rFonts w:cs="Arial"/>
                <w:i/>
                <w:sz w:val="20"/>
              </w:rPr>
              <w:t> </w:t>
            </w:r>
            <w:r w:rsidRPr="00BD011C">
              <w:rPr>
                <w:rFonts w:cs="Arial"/>
                <w:i/>
                <w:sz w:val="20"/>
              </w:rPr>
              <w:t>85(2.1) de la LIR et articles</w:t>
            </w:r>
            <w:r w:rsidR="0095557E">
              <w:rPr>
                <w:rFonts w:cs="Arial"/>
                <w:i/>
                <w:sz w:val="20"/>
              </w:rPr>
              <w:t> </w:t>
            </w:r>
            <w:r w:rsidRPr="00BD011C">
              <w:rPr>
                <w:rFonts w:cs="Arial"/>
                <w:i/>
                <w:sz w:val="20"/>
              </w:rPr>
              <w:t>517.1</w:t>
            </w:r>
            <w:r w:rsidR="00B45D99" w:rsidRPr="00BD011C">
              <w:rPr>
                <w:rFonts w:cs="Arial"/>
                <w:i/>
                <w:sz w:val="20"/>
              </w:rPr>
              <w:t xml:space="preserve"> </w:t>
            </w:r>
            <w:r w:rsidR="002B2E6F" w:rsidRPr="00BD011C">
              <w:rPr>
                <w:rFonts w:cs="Arial"/>
                <w:i/>
                <w:sz w:val="20"/>
              </w:rPr>
              <w:t xml:space="preserve">à 517.5.2 </w:t>
            </w:r>
            <w:r w:rsidRPr="00BD011C">
              <w:rPr>
                <w:rFonts w:cs="Arial"/>
                <w:i/>
                <w:sz w:val="20"/>
              </w:rPr>
              <w:t>de la LI</w:t>
            </w:r>
            <w:r w:rsidRPr="00BD011C">
              <w:rPr>
                <w:rFonts w:cs="Arial"/>
                <w:sz w:val="20"/>
              </w:rPr>
              <w:t>)</w:t>
            </w:r>
          </w:p>
        </w:tc>
        <w:tc>
          <w:tcPr>
            <w:tcW w:w="628" w:type="dxa"/>
            <w:shd w:val="clear" w:color="auto" w:fill="FFFFFF"/>
          </w:tcPr>
          <w:p w14:paraId="31B18FE1" w14:textId="77777777" w:rsidR="000269E3" w:rsidRPr="00BD011C" w:rsidRDefault="000269E3" w:rsidP="00FD6C9A">
            <w:pPr>
              <w:spacing w:before="120" w:after="120"/>
              <w:jc w:val="center"/>
              <w:rPr>
                <w:rFonts w:cs="Arial"/>
                <w:sz w:val="20"/>
              </w:rPr>
            </w:pPr>
          </w:p>
        </w:tc>
        <w:tc>
          <w:tcPr>
            <w:tcW w:w="717" w:type="dxa"/>
            <w:shd w:val="clear" w:color="auto" w:fill="FFFFFF"/>
          </w:tcPr>
          <w:p w14:paraId="03E973F2" w14:textId="77777777" w:rsidR="000269E3" w:rsidRPr="00BD011C" w:rsidRDefault="000269E3" w:rsidP="00FD6C9A">
            <w:pPr>
              <w:spacing w:before="120" w:after="120"/>
              <w:jc w:val="center"/>
              <w:rPr>
                <w:rFonts w:cs="Arial"/>
                <w:sz w:val="20"/>
              </w:rPr>
            </w:pPr>
          </w:p>
        </w:tc>
        <w:tc>
          <w:tcPr>
            <w:tcW w:w="659" w:type="dxa"/>
            <w:shd w:val="clear" w:color="auto" w:fill="FFFFFF"/>
          </w:tcPr>
          <w:p w14:paraId="2E11D026" w14:textId="77777777" w:rsidR="000269E3" w:rsidRPr="00BD011C" w:rsidRDefault="000269E3" w:rsidP="00FD6C9A">
            <w:pPr>
              <w:spacing w:before="120" w:after="120"/>
              <w:jc w:val="center"/>
              <w:rPr>
                <w:rFonts w:cs="Arial"/>
                <w:sz w:val="20"/>
              </w:rPr>
            </w:pPr>
          </w:p>
        </w:tc>
        <w:tc>
          <w:tcPr>
            <w:tcW w:w="3121" w:type="dxa"/>
            <w:shd w:val="clear" w:color="auto" w:fill="FFFFFF"/>
          </w:tcPr>
          <w:p w14:paraId="7C6B1559" w14:textId="77777777" w:rsidR="007C29B9" w:rsidRPr="00BD011C" w:rsidRDefault="007C29B9" w:rsidP="00FD6C9A">
            <w:pPr>
              <w:spacing w:before="120" w:after="120"/>
              <w:jc w:val="center"/>
              <w:rPr>
                <w:rFonts w:cs="Arial"/>
                <w:sz w:val="20"/>
              </w:rPr>
            </w:pPr>
          </w:p>
        </w:tc>
      </w:tr>
      <w:tr w:rsidR="000269E3" w:rsidRPr="00BD011C" w14:paraId="1BC5787D" w14:textId="77777777" w:rsidTr="001A637D">
        <w:trPr>
          <w:cantSplit/>
          <w:trHeight w:val="403"/>
        </w:trPr>
        <w:tc>
          <w:tcPr>
            <w:tcW w:w="4233" w:type="dxa"/>
            <w:shd w:val="clear" w:color="auto" w:fill="FFFFFF"/>
          </w:tcPr>
          <w:p w14:paraId="435653C2" w14:textId="0AA46495" w:rsidR="000269E3" w:rsidRPr="00BD011C" w:rsidRDefault="000269E3" w:rsidP="00FD6C9A">
            <w:pPr>
              <w:pStyle w:val="123"/>
              <w:spacing w:before="120" w:after="120"/>
              <w:rPr>
                <w:rFonts w:ascii="Arial" w:hAnsi="Arial" w:cs="Arial"/>
                <w:snapToGrid/>
              </w:rPr>
            </w:pPr>
            <w:r w:rsidRPr="00BD011C">
              <w:rPr>
                <w:rFonts w:ascii="Arial" w:hAnsi="Arial" w:cs="Arial"/>
                <w:snapToGrid/>
              </w:rPr>
              <w:t xml:space="preserve">Le coût indiqué des biens transférés est-il inférieur </w:t>
            </w:r>
            <w:r w:rsidR="002B2E6F" w:rsidRPr="00BD011C">
              <w:rPr>
                <w:rFonts w:ascii="Arial" w:hAnsi="Arial" w:cs="Arial"/>
                <w:snapToGrid/>
              </w:rPr>
              <w:t>à la somme convenue</w:t>
            </w:r>
            <w:r w:rsidRPr="00BD011C">
              <w:rPr>
                <w:rFonts w:ascii="Arial" w:hAnsi="Arial" w:cs="Arial"/>
                <w:snapToGrid/>
              </w:rPr>
              <w:t xml:space="preserve"> ou à la JVM de la contrepartie reçue autre qu</w:t>
            </w:r>
            <w:r w:rsidR="0095557E">
              <w:rPr>
                <w:rFonts w:ascii="Arial" w:hAnsi="Arial" w:cs="Arial"/>
                <w:snapToGrid/>
              </w:rPr>
              <w:t>’</w:t>
            </w:r>
            <w:r w:rsidRPr="00BD011C">
              <w:rPr>
                <w:rFonts w:ascii="Arial" w:hAnsi="Arial" w:cs="Arial"/>
                <w:snapToGrid/>
              </w:rPr>
              <w:t>en actions?</w:t>
            </w:r>
          </w:p>
          <w:p w14:paraId="61D81C88" w14:textId="2137F676" w:rsidR="000269E3" w:rsidRPr="00BD011C" w:rsidRDefault="000269E3" w:rsidP="00FD6C9A">
            <w:pPr>
              <w:spacing w:before="120" w:after="120"/>
              <w:rPr>
                <w:rFonts w:cs="Arial"/>
                <w:sz w:val="20"/>
              </w:rPr>
            </w:pPr>
            <w:r w:rsidRPr="00BD011C">
              <w:rPr>
                <w:rFonts w:cs="Arial"/>
                <w:sz w:val="20"/>
              </w:rPr>
              <w:t>(</w:t>
            </w:r>
            <w:r w:rsidRPr="00BD011C">
              <w:rPr>
                <w:rFonts w:cs="Arial"/>
                <w:i/>
                <w:sz w:val="20"/>
              </w:rPr>
              <w:t>Voir alinéa</w:t>
            </w:r>
            <w:r w:rsidR="0095557E">
              <w:rPr>
                <w:rFonts w:cs="Arial"/>
                <w:i/>
                <w:sz w:val="20"/>
              </w:rPr>
              <w:t> </w:t>
            </w:r>
            <w:r w:rsidRPr="00BD011C">
              <w:rPr>
                <w:rFonts w:cs="Arial"/>
                <w:i/>
                <w:sz w:val="20"/>
              </w:rPr>
              <w:t xml:space="preserve">40(1)a) et </w:t>
            </w:r>
            <w:r w:rsidR="0072168F" w:rsidRPr="00BD011C">
              <w:rPr>
                <w:rFonts w:cs="Arial"/>
                <w:i/>
                <w:sz w:val="20"/>
              </w:rPr>
              <w:t>paragraphe</w:t>
            </w:r>
            <w:r w:rsidR="0095557E">
              <w:rPr>
                <w:rFonts w:cs="Arial"/>
                <w:i/>
                <w:sz w:val="20"/>
              </w:rPr>
              <w:t> </w:t>
            </w:r>
            <w:r w:rsidRPr="00BD011C">
              <w:rPr>
                <w:rFonts w:cs="Arial"/>
                <w:i/>
                <w:sz w:val="20"/>
              </w:rPr>
              <w:t xml:space="preserve">13(1) de </w:t>
            </w:r>
            <w:smartTag w:uri="urn:schemas-microsoft-com:office:smarttags" w:element="PersonName">
              <w:smartTagPr>
                <w:attr w:name="ProductID" w:val="la LIR"/>
              </w:smartTagPr>
              <w:r w:rsidRPr="00BD011C">
                <w:rPr>
                  <w:rFonts w:cs="Arial"/>
                  <w:i/>
                  <w:sz w:val="20"/>
                </w:rPr>
                <w:t>la LIR</w:t>
              </w:r>
            </w:smartTag>
            <w:r w:rsidRPr="00BD011C">
              <w:rPr>
                <w:rFonts w:cs="Arial"/>
                <w:i/>
                <w:sz w:val="20"/>
              </w:rPr>
              <w:t xml:space="preserve"> et articles</w:t>
            </w:r>
            <w:r w:rsidR="0095557E">
              <w:rPr>
                <w:rFonts w:cs="Arial"/>
                <w:i/>
                <w:sz w:val="20"/>
              </w:rPr>
              <w:t> </w:t>
            </w:r>
            <w:r w:rsidRPr="00BD011C">
              <w:rPr>
                <w:rFonts w:cs="Arial"/>
                <w:i/>
                <w:sz w:val="20"/>
              </w:rPr>
              <w:t>94 et 234 de la LI</w:t>
            </w:r>
            <w:r w:rsidR="00C51628">
              <w:rPr>
                <w:rFonts w:cs="Arial"/>
                <w:i/>
                <w:sz w:val="20"/>
              </w:rPr>
              <w:t>)</w:t>
            </w:r>
          </w:p>
        </w:tc>
        <w:tc>
          <w:tcPr>
            <w:tcW w:w="628" w:type="dxa"/>
            <w:shd w:val="clear" w:color="auto" w:fill="FFFFFF"/>
          </w:tcPr>
          <w:p w14:paraId="3ACB6C31" w14:textId="77777777" w:rsidR="000269E3" w:rsidRPr="00BD011C" w:rsidRDefault="000269E3" w:rsidP="00FD6C9A">
            <w:pPr>
              <w:spacing w:before="120" w:after="120"/>
              <w:jc w:val="center"/>
              <w:rPr>
                <w:rFonts w:cs="Arial"/>
                <w:sz w:val="20"/>
              </w:rPr>
            </w:pPr>
          </w:p>
        </w:tc>
        <w:tc>
          <w:tcPr>
            <w:tcW w:w="717" w:type="dxa"/>
            <w:shd w:val="clear" w:color="auto" w:fill="FFFFFF"/>
          </w:tcPr>
          <w:p w14:paraId="29026506" w14:textId="77777777" w:rsidR="000269E3" w:rsidRPr="00BD011C" w:rsidRDefault="000269E3" w:rsidP="00FD6C9A">
            <w:pPr>
              <w:spacing w:before="120" w:after="120"/>
              <w:jc w:val="center"/>
              <w:rPr>
                <w:rFonts w:cs="Arial"/>
                <w:sz w:val="20"/>
              </w:rPr>
            </w:pPr>
          </w:p>
        </w:tc>
        <w:tc>
          <w:tcPr>
            <w:tcW w:w="659" w:type="dxa"/>
            <w:shd w:val="clear" w:color="auto" w:fill="FFFFFF"/>
          </w:tcPr>
          <w:p w14:paraId="5BEA6D1F" w14:textId="77777777" w:rsidR="000269E3" w:rsidRPr="00BD011C" w:rsidRDefault="000269E3" w:rsidP="00FD6C9A">
            <w:pPr>
              <w:spacing w:before="120" w:after="120"/>
              <w:jc w:val="center"/>
              <w:rPr>
                <w:rFonts w:cs="Arial"/>
                <w:sz w:val="20"/>
              </w:rPr>
            </w:pPr>
          </w:p>
        </w:tc>
        <w:tc>
          <w:tcPr>
            <w:tcW w:w="3121" w:type="dxa"/>
            <w:shd w:val="clear" w:color="auto" w:fill="FFFFFF"/>
          </w:tcPr>
          <w:p w14:paraId="4B692536" w14:textId="77777777" w:rsidR="000269E3" w:rsidRPr="00BD011C" w:rsidRDefault="000269E3" w:rsidP="00FD6C9A">
            <w:pPr>
              <w:spacing w:before="120" w:after="120"/>
              <w:jc w:val="center"/>
              <w:rPr>
                <w:rFonts w:cs="Arial"/>
                <w:sz w:val="20"/>
              </w:rPr>
            </w:pPr>
          </w:p>
        </w:tc>
      </w:tr>
      <w:tr w:rsidR="000269E3" w:rsidRPr="00BD011C" w14:paraId="01F0934A" w14:textId="77777777" w:rsidTr="001A637D">
        <w:trPr>
          <w:cantSplit/>
          <w:trHeight w:val="403"/>
        </w:trPr>
        <w:tc>
          <w:tcPr>
            <w:tcW w:w="4233" w:type="dxa"/>
            <w:shd w:val="clear" w:color="auto" w:fill="FFFFFF"/>
          </w:tcPr>
          <w:p w14:paraId="01AC0E28" w14:textId="3040622F" w:rsidR="000269E3" w:rsidRPr="00BD011C" w:rsidRDefault="000269E3" w:rsidP="00FD6C9A">
            <w:pPr>
              <w:pStyle w:val="123"/>
              <w:spacing w:before="120" w:after="120"/>
              <w:rPr>
                <w:rFonts w:ascii="Arial" w:hAnsi="Arial" w:cs="Arial"/>
                <w:snapToGrid/>
              </w:rPr>
            </w:pPr>
            <w:r w:rsidRPr="00BD011C">
              <w:rPr>
                <w:rFonts w:ascii="Arial" w:hAnsi="Arial" w:cs="Arial"/>
                <w:snapToGrid/>
              </w:rPr>
              <w:t>Dans le cadre d</w:t>
            </w:r>
            <w:r w:rsidR="0095557E">
              <w:rPr>
                <w:rFonts w:ascii="Arial" w:hAnsi="Arial" w:cs="Arial"/>
                <w:snapToGrid/>
              </w:rPr>
              <w:t>’</w:t>
            </w:r>
            <w:r w:rsidRPr="00BD011C">
              <w:rPr>
                <w:rFonts w:ascii="Arial" w:hAnsi="Arial" w:cs="Arial"/>
                <w:snapToGrid/>
              </w:rPr>
              <w:t>un transfert d</w:t>
            </w:r>
            <w:r w:rsidR="0095557E">
              <w:rPr>
                <w:rFonts w:ascii="Arial" w:hAnsi="Arial" w:cs="Arial"/>
                <w:snapToGrid/>
              </w:rPr>
              <w:t>’</w:t>
            </w:r>
            <w:r w:rsidRPr="00BD011C">
              <w:rPr>
                <w:rFonts w:ascii="Arial" w:hAnsi="Arial" w:cs="Arial"/>
                <w:snapToGrid/>
              </w:rPr>
              <w:t>actions d’un contribuable (autre qu’une société) en faveur d’une société avec laquelle le contribuable a un lien de dépendance :</w:t>
            </w:r>
          </w:p>
          <w:p w14:paraId="40A7D798" w14:textId="72531494" w:rsidR="000269E3" w:rsidRPr="00BD011C" w:rsidRDefault="000269E3" w:rsidP="00FD6C9A">
            <w:pPr>
              <w:pStyle w:val="123"/>
              <w:spacing w:before="120" w:after="120"/>
              <w:rPr>
                <w:rFonts w:ascii="Arial" w:hAnsi="Arial" w:cs="Arial"/>
                <w:snapToGrid/>
              </w:rPr>
            </w:pPr>
            <w:proofErr w:type="gramStart"/>
            <w:r w:rsidRPr="00BD011C">
              <w:rPr>
                <w:rFonts w:ascii="Arial" w:hAnsi="Arial" w:cs="Arial"/>
                <w:snapToGrid/>
              </w:rPr>
              <w:t>le</w:t>
            </w:r>
            <w:proofErr w:type="gramEnd"/>
            <w:r w:rsidRPr="00BD011C">
              <w:rPr>
                <w:rFonts w:ascii="Arial" w:hAnsi="Arial" w:cs="Arial"/>
                <w:snapToGrid/>
              </w:rPr>
              <w:t xml:space="preserve"> total de la </w:t>
            </w:r>
            <w:r w:rsidR="002B2E6F" w:rsidRPr="00BD011C">
              <w:rPr>
                <w:rFonts w:ascii="Arial" w:hAnsi="Arial" w:cs="Arial"/>
                <w:snapToGrid/>
              </w:rPr>
              <w:t xml:space="preserve">JVM de la </w:t>
            </w:r>
            <w:r w:rsidRPr="00BD011C">
              <w:rPr>
                <w:rFonts w:ascii="Arial" w:hAnsi="Arial" w:cs="Arial"/>
                <w:snapToGrid/>
              </w:rPr>
              <w:t>contrepartie reçue autre qu</w:t>
            </w:r>
            <w:r w:rsidR="0095557E">
              <w:rPr>
                <w:rFonts w:ascii="Arial" w:hAnsi="Arial" w:cs="Arial"/>
                <w:snapToGrid/>
              </w:rPr>
              <w:t>’</w:t>
            </w:r>
            <w:r w:rsidRPr="00BD011C">
              <w:rPr>
                <w:rFonts w:ascii="Arial" w:hAnsi="Arial" w:cs="Arial"/>
                <w:snapToGrid/>
              </w:rPr>
              <w:t xml:space="preserve">en actions et du CV </w:t>
            </w:r>
            <w:r w:rsidR="00657341" w:rsidRPr="00BD011C">
              <w:rPr>
                <w:rFonts w:ascii="Arial" w:hAnsi="Arial" w:cs="Arial"/>
                <w:snapToGrid/>
              </w:rPr>
              <w:t xml:space="preserve">fiscal </w:t>
            </w:r>
            <w:r w:rsidRPr="00BD011C">
              <w:rPr>
                <w:rFonts w:ascii="Arial" w:hAnsi="Arial" w:cs="Arial"/>
                <w:snapToGrid/>
              </w:rPr>
              <w:t xml:space="preserve">des actions émises en échange est-il égal ou inférieur au plus élevé du CV </w:t>
            </w:r>
            <w:r w:rsidR="00657341" w:rsidRPr="00BD011C">
              <w:rPr>
                <w:rFonts w:ascii="Arial" w:hAnsi="Arial" w:cs="Arial"/>
                <w:snapToGrid/>
              </w:rPr>
              <w:t xml:space="preserve">fiscal </w:t>
            </w:r>
            <w:r w:rsidRPr="00BD011C">
              <w:rPr>
                <w:rFonts w:ascii="Arial" w:hAnsi="Arial" w:cs="Arial"/>
                <w:snapToGrid/>
              </w:rPr>
              <w:t xml:space="preserve">ou du PBR </w:t>
            </w:r>
            <w:r w:rsidR="00B45D99" w:rsidRPr="00BD011C">
              <w:rPr>
                <w:rFonts w:ascii="Arial" w:hAnsi="Arial" w:cs="Arial"/>
                <w:snapToGrid/>
              </w:rPr>
              <w:t>«</w:t>
            </w:r>
            <w:r w:rsidR="0095557E">
              <w:rPr>
                <w:rFonts w:ascii="Arial" w:hAnsi="Arial" w:cs="Arial"/>
                <w:snapToGrid/>
              </w:rPr>
              <w:t> </w:t>
            </w:r>
            <w:r w:rsidR="00B45D99" w:rsidRPr="00BD011C">
              <w:rPr>
                <w:rFonts w:ascii="Arial" w:hAnsi="Arial" w:cs="Arial"/>
                <w:snapToGrid/>
              </w:rPr>
              <w:t>modifié</w:t>
            </w:r>
            <w:r w:rsidR="0095557E">
              <w:rPr>
                <w:rFonts w:ascii="Arial" w:hAnsi="Arial" w:cs="Arial"/>
                <w:snapToGrid/>
              </w:rPr>
              <w:t> </w:t>
            </w:r>
            <w:r w:rsidR="00B45D99" w:rsidRPr="00BD011C">
              <w:rPr>
                <w:rFonts w:ascii="Arial" w:hAnsi="Arial" w:cs="Arial"/>
                <w:snapToGrid/>
              </w:rPr>
              <w:t xml:space="preserve">» </w:t>
            </w:r>
            <w:r w:rsidRPr="00BD011C">
              <w:rPr>
                <w:rFonts w:ascii="Arial" w:hAnsi="Arial" w:cs="Arial"/>
                <w:snapToGrid/>
              </w:rPr>
              <w:t>des actions transférées?</w:t>
            </w:r>
          </w:p>
          <w:p w14:paraId="0206AB81" w14:textId="67A88F57" w:rsidR="000269E3" w:rsidRPr="00BD011C" w:rsidRDefault="000269E3" w:rsidP="00FD6C9A">
            <w:pPr>
              <w:spacing w:before="120" w:after="120"/>
              <w:rPr>
                <w:rFonts w:cs="Arial"/>
                <w:sz w:val="20"/>
              </w:rPr>
            </w:pPr>
            <w:r w:rsidRPr="00BD011C">
              <w:rPr>
                <w:rFonts w:cs="Arial"/>
                <w:sz w:val="20"/>
              </w:rPr>
              <w:t>(</w:t>
            </w:r>
            <w:r w:rsidRPr="00BD011C">
              <w:rPr>
                <w:rFonts w:cs="Arial"/>
                <w:i/>
                <w:sz w:val="20"/>
              </w:rPr>
              <w:t>Voir article</w:t>
            </w:r>
            <w:r w:rsidR="0095557E">
              <w:rPr>
                <w:rFonts w:cs="Arial"/>
                <w:i/>
                <w:sz w:val="20"/>
              </w:rPr>
              <w:t> </w:t>
            </w:r>
            <w:r w:rsidRPr="00BD011C">
              <w:rPr>
                <w:rFonts w:cs="Arial"/>
                <w:i/>
                <w:sz w:val="20"/>
              </w:rPr>
              <w:t>84.1 de la LIR et articles</w:t>
            </w:r>
            <w:r w:rsidR="0095557E">
              <w:rPr>
                <w:rFonts w:cs="Arial"/>
                <w:i/>
                <w:sz w:val="20"/>
              </w:rPr>
              <w:t> </w:t>
            </w:r>
            <w:r w:rsidRPr="00BD011C">
              <w:rPr>
                <w:rFonts w:cs="Arial"/>
                <w:i/>
                <w:sz w:val="20"/>
              </w:rPr>
              <w:t xml:space="preserve">517.1 </w:t>
            </w:r>
            <w:r w:rsidR="002B2E6F" w:rsidRPr="00BD011C">
              <w:rPr>
                <w:rFonts w:cs="Arial"/>
                <w:i/>
                <w:sz w:val="20"/>
              </w:rPr>
              <w:t>à 517.5.2</w:t>
            </w:r>
            <w:r w:rsidRPr="00BD011C">
              <w:rPr>
                <w:rFonts w:cs="Arial"/>
                <w:i/>
                <w:sz w:val="20"/>
              </w:rPr>
              <w:t xml:space="preserve"> de la LI)</w:t>
            </w:r>
          </w:p>
        </w:tc>
        <w:tc>
          <w:tcPr>
            <w:tcW w:w="628" w:type="dxa"/>
            <w:shd w:val="clear" w:color="auto" w:fill="FFFFFF"/>
          </w:tcPr>
          <w:p w14:paraId="54EE30B4" w14:textId="77777777" w:rsidR="000269E3" w:rsidRPr="00BD011C" w:rsidRDefault="000269E3" w:rsidP="00FD6C9A">
            <w:pPr>
              <w:spacing w:before="120" w:after="120"/>
              <w:jc w:val="center"/>
              <w:rPr>
                <w:rFonts w:cs="Arial"/>
                <w:sz w:val="20"/>
              </w:rPr>
            </w:pPr>
          </w:p>
        </w:tc>
        <w:tc>
          <w:tcPr>
            <w:tcW w:w="717" w:type="dxa"/>
            <w:shd w:val="clear" w:color="auto" w:fill="FFFFFF"/>
          </w:tcPr>
          <w:p w14:paraId="50CF561D" w14:textId="77777777" w:rsidR="000269E3" w:rsidRPr="00BD011C" w:rsidRDefault="000269E3" w:rsidP="00FD6C9A">
            <w:pPr>
              <w:spacing w:before="120" w:after="120"/>
              <w:jc w:val="center"/>
              <w:rPr>
                <w:rFonts w:cs="Arial"/>
                <w:sz w:val="20"/>
              </w:rPr>
            </w:pPr>
          </w:p>
        </w:tc>
        <w:tc>
          <w:tcPr>
            <w:tcW w:w="659" w:type="dxa"/>
            <w:shd w:val="clear" w:color="auto" w:fill="FFFFFF"/>
          </w:tcPr>
          <w:p w14:paraId="3D277685" w14:textId="77777777" w:rsidR="000269E3" w:rsidRPr="00BD011C" w:rsidRDefault="000269E3" w:rsidP="00FD6C9A">
            <w:pPr>
              <w:spacing w:before="120" w:after="120"/>
              <w:jc w:val="center"/>
              <w:rPr>
                <w:rFonts w:cs="Arial"/>
                <w:sz w:val="20"/>
              </w:rPr>
            </w:pPr>
          </w:p>
        </w:tc>
        <w:tc>
          <w:tcPr>
            <w:tcW w:w="3121" w:type="dxa"/>
            <w:shd w:val="clear" w:color="auto" w:fill="FFFFFF"/>
          </w:tcPr>
          <w:p w14:paraId="2DFA99F2" w14:textId="77777777" w:rsidR="000269E3" w:rsidRPr="00BD011C" w:rsidRDefault="000269E3" w:rsidP="00FD6C9A">
            <w:pPr>
              <w:spacing w:before="120" w:after="120"/>
              <w:jc w:val="center"/>
              <w:rPr>
                <w:rFonts w:cs="Arial"/>
                <w:sz w:val="20"/>
              </w:rPr>
            </w:pPr>
          </w:p>
        </w:tc>
      </w:tr>
      <w:tr w:rsidR="000269E3" w:rsidRPr="00BD011C" w14:paraId="5379A029" w14:textId="77777777" w:rsidTr="001A637D">
        <w:trPr>
          <w:cantSplit/>
          <w:trHeight w:val="403"/>
        </w:trPr>
        <w:tc>
          <w:tcPr>
            <w:tcW w:w="4233" w:type="dxa"/>
            <w:shd w:val="clear" w:color="auto" w:fill="FFFFFF"/>
          </w:tcPr>
          <w:p w14:paraId="054F1E1B" w14:textId="77777777" w:rsidR="000269E3" w:rsidRPr="00BD011C" w:rsidRDefault="000269E3" w:rsidP="00FD6C9A">
            <w:pPr>
              <w:pStyle w:val="123"/>
              <w:spacing w:before="120" w:after="120"/>
              <w:rPr>
                <w:rFonts w:ascii="Arial" w:hAnsi="Arial" w:cs="Arial"/>
                <w:snapToGrid/>
              </w:rPr>
            </w:pPr>
            <w:r w:rsidRPr="00BD011C">
              <w:rPr>
                <w:rFonts w:ascii="Arial" w:hAnsi="Arial" w:cs="Arial"/>
                <w:snapToGrid/>
              </w:rPr>
              <w:lastRenderedPageBreak/>
              <w:t>Dans le cadre de tout autre transfert que celui prévu au point précéd</w:t>
            </w:r>
            <w:r w:rsidR="00F26DAF" w:rsidRPr="00BD011C">
              <w:rPr>
                <w:rFonts w:ascii="Arial" w:hAnsi="Arial" w:cs="Arial"/>
                <w:snapToGrid/>
              </w:rPr>
              <w:t>e</w:t>
            </w:r>
            <w:r w:rsidRPr="00BD011C">
              <w:rPr>
                <w:rFonts w:ascii="Arial" w:hAnsi="Arial" w:cs="Arial"/>
                <w:snapToGrid/>
              </w:rPr>
              <w:t>nt :</w:t>
            </w:r>
          </w:p>
          <w:p w14:paraId="4742A955" w14:textId="092E670B" w:rsidR="000269E3" w:rsidRPr="00BD011C" w:rsidRDefault="000269E3" w:rsidP="00FD6C9A">
            <w:pPr>
              <w:pStyle w:val="123"/>
              <w:spacing w:before="120" w:after="120"/>
              <w:rPr>
                <w:rFonts w:ascii="Arial" w:hAnsi="Arial" w:cs="Arial"/>
                <w:snapToGrid/>
              </w:rPr>
            </w:pPr>
            <w:proofErr w:type="gramStart"/>
            <w:r w:rsidRPr="00BD011C">
              <w:rPr>
                <w:rFonts w:ascii="Arial" w:hAnsi="Arial" w:cs="Arial"/>
                <w:snapToGrid/>
              </w:rPr>
              <w:t>le</w:t>
            </w:r>
            <w:proofErr w:type="gramEnd"/>
            <w:r w:rsidRPr="00BD011C">
              <w:rPr>
                <w:rFonts w:ascii="Arial" w:hAnsi="Arial" w:cs="Arial"/>
                <w:snapToGrid/>
              </w:rPr>
              <w:t xml:space="preserve"> total de la </w:t>
            </w:r>
            <w:r w:rsidR="002B2E6F" w:rsidRPr="00BD011C">
              <w:rPr>
                <w:rFonts w:ascii="Arial" w:hAnsi="Arial" w:cs="Arial"/>
                <w:snapToGrid/>
              </w:rPr>
              <w:t xml:space="preserve">JVM de la </w:t>
            </w:r>
            <w:r w:rsidRPr="00BD011C">
              <w:rPr>
                <w:rFonts w:ascii="Arial" w:hAnsi="Arial" w:cs="Arial"/>
                <w:snapToGrid/>
              </w:rPr>
              <w:t>contrepartie reçue autre qu</w:t>
            </w:r>
            <w:r w:rsidR="0095557E">
              <w:rPr>
                <w:rFonts w:ascii="Arial" w:hAnsi="Arial" w:cs="Arial"/>
                <w:snapToGrid/>
              </w:rPr>
              <w:t>’</w:t>
            </w:r>
            <w:r w:rsidRPr="00BD011C">
              <w:rPr>
                <w:rFonts w:ascii="Arial" w:hAnsi="Arial" w:cs="Arial"/>
                <w:snapToGrid/>
              </w:rPr>
              <w:t xml:space="preserve">en actions et du CV </w:t>
            </w:r>
            <w:r w:rsidR="00657341" w:rsidRPr="00BD011C">
              <w:rPr>
                <w:rFonts w:ascii="Arial" w:hAnsi="Arial" w:cs="Arial"/>
                <w:snapToGrid/>
              </w:rPr>
              <w:t xml:space="preserve">fiscal </w:t>
            </w:r>
            <w:r w:rsidRPr="00BD011C">
              <w:rPr>
                <w:rFonts w:ascii="Arial" w:hAnsi="Arial" w:cs="Arial"/>
                <w:snapToGrid/>
              </w:rPr>
              <w:t xml:space="preserve">des actions émises en échange est-il égal ou inférieur au coût du bien </w:t>
            </w:r>
            <w:r w:rsidR="00C920C6" w:rsidRPr="00BD011C">
              <w:rPr>
                <w:rFonts w:ascii="Arial" w:hAnsi="Arial" w:cs="Arial"/>
                <w:snapToGrid/>
              </w:rPr>
              <w:t xml:space="preserve">pour </w:t>
            </w:r>
            <w:r w:rsidRPr="00BD011C">
              <w:rPr>
                <w:rFonts w:ascii="Arial" w:hAnsi="Arial" w:cs="Arial"/>
                <w:snapToGrid/>
              </w:rPr>
              <w:t>le cessionnaire?</w:t>
            </w:r>
          </w:p>
          <w:p w14:paraId="63670333" w14:textId="631F7908" w:rsidR="000269E3" w:rsidRPr="00BD011C" w:rsidRDefault="000269E3" w:rsidP="00FD6C9A">
            <w:pPr>
              <w:spacing w:before="120" w:after="120"/>
              <w:rPr>
                <w:rFonts w:cs="Arial"/>
                <w:sz w:val="20"/>
              </w:rPr>
            </w:pPr>
            <w:r w:rsidRPr="00BD011C">
              <w:rPr>
                <w:rFonts w:cs="Arial"/>
                <w:sz w:val="20"/>
              </w:rPr>
              <w:t>(</w:t>
            </w:r>
            <w:r w:rsidRPr="00BD011C">
              <w:rPr>
                <w:rFonts w:cs="Arial"/>
                <w:i/>
                <w:sz w:val="20"/>
              </w:rPr>
              <w:t xml:space="preserve">Voir </w:t>
            </w:r>
            <w:r w:rsidR="00DD2DE3" w:rsidRPr="00BD011C">
              <w:rPr>
                <w:rFonts w:cs="Arial"/>
                <w:i/>
                <w:sz w:val="20"/>
              </w:rPr>
              <w:t>paragraphe</w:t>
            </w:r>
            <w:r w:rsidR="0095557E">
              <w:rPr>
                <w:rFonts w:cs="Arial"/>
                <w:i/>
                <w:sz w:val="20"/>
              </w:rPr>
              <w:t> </w:t>
            </w:r>
            <w:r w:rsidRPr="00BD011C">
              <w:rPr>
                <w:rFonts w:cs="Arial"/>
                <w:i/>
                <w:sz w:val="20"/>
              </w:rPr>
              <w:t>85(2.1) de la LIR</w:t>
            </w:r>
            <w:r w:rsidRPr="00BD011C">
              <w:rPr>
                <w:rFonts w:cs="Arial"/>
                <w:sz w:val="20"/>
              </w:rPr>
              <w:t>)</w:t>
            </w:r>
          </w:p>
        </w:tc>
        <w:tc>
          <w:tcPr>
            <w:tcW w:w="628" w:type="dxa"/>
            <w:shd w:val="clear" w:color="auto" w:fill="FFFFFF"/>
          </w:tcPr>
          <w:p w14:paraId="01F2AA93" w14:textId="77777777" w:rsidR="000269E3" w:rsidRPr="00BD011C" w:rsidRDefault="000269E3" w:rsidP="00FD6C9A">
            <w:pPr>
              <w:spacing w:before="120" w:after="120"/>
              <w:jc w:val="center"/>
              <w:rPr>
                <w:rFonts w:cs="Arial"/>
                <w:sz w:val="20"/>
              </w:rPr>
            </w:pPr>
          </w:p>
        </w:tc>
        <w:tc>
          <w:tcPr>
            <w:tcW w:w="717" w:type="dxa"/>
            <w:shd w:val="clear" w:color="auto" w:fill="FFFFFF"/>
          </w:tcPr>
          <w:p w14:paraId="55868438" w14:textId="77777777" w:rsidR="000269E3" w:rsidRPr="00BD011C" w:rsidRDefault="000269E3" w:rsidP="00FD6C9A">
            <w:pPr>
              <w:spacing w:before="120" w:after="120"/>
              <w:jc w:val="center"/>
              <w:rPr>
                <w:rFonts w:cs="Arial"/>
                <w:sz w:val="20"/>
              </w:rPr>
            </w:pPr>
          </w:p>
        </w:tc>
        <w:tc>
          <w:tcPr>
            <w:tcW w:w="659" w:type="dxa"/>
            <w:shd w:val="clear" w:color="auto" w:fill="FFFFFF"/>
          </w:tcPr>
          <w:p w14:paraId="248B48BE" w14:textId="77777777" w:rsidR="000269E3" w:rsidRPr="00BD011C" w:rsidRDefault="000269E3" w:rsidP="00FD6C9A">
            <w:pPr>
              <w:spacing w:before="120" w:after="120"/>
              <w:jc w:val="center"/>
              <w:rPr>
                <w:rFonts w:cs="Arial"/>
                <w:sz w:val="20"/>
              </w:rPr>
            </w:pPr>
          </w:p>
        </w:tc>
        <w:tc>
          <w:tcPr>
            <w:tcW w:w="3121" w:type="dxa"/>
            <w:shd w:val="clear" w:color="auto" w:fill="FFFFFF"/>
          </w:tcPr>
          <w:p w14:paraId="0E7256D3" w14:textId="77777777" w:rsidR="000269E3" w:rsidRPr="00BD011C" w:rsidRDefault="000269E3" w:rsidP="00FD6C9A">
            <w:pPr>
              <w:spacing w:before="120" w:after="120"/>
              <w:jc w:val="center"/>
              <w:rPr>
                <w:rFonts w:cs="Arial"/>
                <w:sz w:val="20"/>
              </w:rPr>
            </w:pPr>
          </w:p>
        </w:tc>
      </w:tr>
      <w:tr w:rsidR="000269E3" w:rsidRPr="00BD011C" w14:paraId="19DD469E" w14:textId="77777777" w:rsidTr="001A637D">
        <w:trPr>
          <w:cantSplit/>
          <w:trHeight w:val="403"/>
        </w:trPr>
        <w:tc>
          <w:tcPr>
            <w:tcW w:w="4233" w:type="dxa"/>
            <w:shd w:val="clear" w:color="auto" w:fill="FFFFFF"/>
          </w:tcPr>
          <w:p w14:paraId="7C0237FB" w14:textId="772A9D9C" w:rsidR="000269E3" w:rsidRPr="00BD011C" w:rsidRDefault="000269E3" w:rsidP="00FD6C9A">
            <w:pPr>
              <w:pStyle w:val="123"/>
              <w:spacing w:before="120" w:after="120"/>
              <w:rPr>
                <w:rFonts w:ascii="Arial" w:hAnsi="Arial" w:cs="Arial"/>
                <w:snapToGrid/>
              </w:rPr>
            </w:pPr>
            <w:r w:rsidRPr="00BD011C">
              <w:rPr>
                <w:rFonts w:ascii="Arial" w:hAnsi="Arial" w:cs="Arial"/>
                <w:snapToGrid/>
              </w:rPr>
              <w:t>Un conseiller juridique vous a-t-il assuré que toutes les règles au niveau corporatif ont été respectées lors de l</w:t>
            </w:r>
            <w:r w:rsidR="0095557E">
              <w:rPr>
                <w:rFonts w:ascii="Arial" w:hAnsi="Arial" w:cs="Arial"/>
                <w:snapToGrid/>
              </w:rPr>
              <w:t>’</w:t>
            </w:r>
            <w:r w:rsidRPr="00BD011C">
              <w:rPr>
                <w:rFonts w:ascii="Arial" w:hAnsi="Arial" w:cs="Arial"/>
                <w:snapToGrid/>
              </w:rPr>
              <w:t>établissement du capital versé des actions reçues en échange?</w:t>
            </w:r>
          </w:p>
        </w:tc>
        <w:tc>
          <w:tcPr>
            <w:tcW w:w="628" w:type="dxa"/>
            <w:shd w:val="clear" w:color="auto" w:fill="FFFFFF"/>
          </w:tcPr>
          <w:p w14:paraId="7C2A9862" w14:textId="77777777" w:rsidR="000269E3" w:rsidRPr="00BD011C" w:rsidRDefault="000269E3" w:rsidP="00FD6C9A">
            <w:pPr>
              <w:spacing w:before="120" w:after="120"/>
              <w:jc w:val="center"/>
              <w:rPr>
                <w:rFonts w:cs="Arial"/>
                <w:sz w:val="20"/>
              </w:rPr>
            </w:pPr>
          </w:p>
        </w:tc>
        <w:tc>
          <w:tcPr>
            <w:tcW w:w="717" w:type="dxa"/>
            <w:shd w:val="clear" w:color="auto" w:fill="FFFFFF"/>
          </w:tcPr>
          <w:p w14:paraId="0924DFB7" w14:textId="77777777" w:rsidR="000269E3" w:rsidRPr="00BD011C" w:rsidRDefault="000269E3" w:rsidP="00FD6C9A">
            <w:pPr>
              <w:spacing w:before="120" w:after="120"/>
              <w:jc w:val="center"/>
              <w:rPr>
                <w:rFonts w:cs="Arial"/>
                <w:sz w:val="20"/>
              </w:rPr>
            </w:pPr>
          </w:p>
        </w:tc>
        <w:tc>
          <w:tcPr>
            <w:tcW w:w="659" w:type="dxa"/>
            <w:shd w:val="clear" w:color="auto" w:fill="FFFFFF"/>
          </w:tcPr>
          <w:p w14:paraId="66A7298C" w14:textId="77777777" w:rsidR="000269E3" w:rsidRPr="00BD011C" w:rsidRDefault="000269E3" w:rsidP="00FD6C9A">
            <w:pPr>
              <w:spacing w:before="120" w:after="120"/>
              <w:jc w:val="center"/>
              <w:rPr>
                <w:rFonts w:cs="Arial"/>
                <w:sz w:val="20"/>
              </w:rPr>
            </w:pPr>
          </w:p>
        </w:tc>
        <w:tc>
          <w:tcPr>
            <w:tcW w:w="3121" w:type="dxa"/>
            <w:shd w:val="clear" w:color="auto" w:fill="FFFFFF"/>
          </w:tcPr>
          <w:p w14:paraId="35F1D74C" w14:textId="77777777" w:rsidR="000269E3" w:rsidRPr="00BD011C" w:rsidRDefault="000269E3" w:rsidP="00FD6C9A">
            <w:pPr>
              <w:spacing w:before="120" w:after="120"/>
              <w:jc w:val="center"/>
              <w:rPr>
                <w:rFonts w:cs="Arial"/>
                <w:sz w:val="20"/>
              </w:rPr>
            </w:pPr>
          </w:p>
        </w:tc>
      </w:tr>
      <w:tr w:rsidR="000269E3" w:rsidRPr="00BD011C" w14:paraId="7ECA1911" w14:textId="77777777" w:rsidTr="001A637D">
        <w:trPr>
          <w:cantSplit/>
          <w:trHeight w:val="403"/>
        </w:trPr>
        <w:tc>
          <w:tcPr>
            <w:tcW w:w="4233" w:type="dxa"/>
            <w:shd w:val="clear" w:color="auto" w:fill="FFFFFF"/>
          </w:tcPr>
          <w:p w14:paraId="58EAE43A" w14:textId="77777777" w:rsidR="000269E3" w:rsidRPr="00BD011C" w:rsidRDefault="000269E3" w:rsidP="00FD6C9A">
            <w:pPr>
              <w:pStyle w:val="Titre2"/>
              <w:keepNext w:val="0"/>
              <w:spacing w:before="120" w:after="120"/>
              <w:rPr>
                <w:rFonts w:cs="Arial"/>
              </w:rPr>
            </w:pPr>
            <w:bookmarkStart w:id="19" w:name="_Toc368571837"/>
            <w:r w:rsidRPr="00BD011C">
              <w:rPr>
                <w:rFonts w:cs="Arial"/>
              </w:rPr>
              <w:t>Section D</w:t>
            </w:r>
            <w:r w:rsidRPr="00BD011C">
              <w:rPr>
                <w:rFonts w:cs="Arial"/>
              </w:rPr>
              <w:cr/>
              <w:t>Contrepartie reçue</w:t>
            </w:r>
            <w:bookmarkEnd w:id="19"/>
            <w:r w:rsidRPr="00BD011C">
              <w:rPr>
                <w:rFonts w:cs="Arial"/>
              </w:rPr>
              <w:t xml:space="preserve"> </w:t>
            </w:r>
          </w:p>
          <w:p w14:paraId="46427430" w14:textId="6CA18A19" w:rsidR="000269E3" w:rsidRPr="00BD011C" w:rsidRDefault="000269E3" w:rsidP="00FD6C9A">
            <w:pPr>
              <w:pStyle w:val="123"/>
              <w:spacing w:before="120" w:after="120"/>
              <w:rPr>
                <w:rFonts w:ascii="Arial" w:hAnsi="Arial" w:cs="Arial"/>
                <w:snapToGrid/>
              </w:rPr>
            </w:pPr>
            <w:r w:rsidRPr="00BD011C">
              <w:rPr>
                <w:rFonts w:ascii="Arial" w:hAnsi="Arial" w:cs="Arial"/>
                <w:snapToGrid/>
              </w:rPr>
              <w:t>Le genre de biens donnés en contrepartie (actions, billets, prise en charge de dettes, etc.) a-t-il été pris en considération à la lumière des conséquences fiscales d</w:t>
            </w:r>
            <w:r w:rsidR="0095557E">
              <w:rPr>
                <w:rFonts w:ascii="Arial" w:hAnsi="Arial" w:cs="Arial"/>
                <w:snapToGrid/>
              </w:rPr>
              <w:t>’</w:t>
            </w:r>
            <w:r w:rsidRPr="00BD011C">
              <w:rPr>
                <w:rFonts w:ascii="Arial" w:hAnsi="Arial" w:cs="Arial"/>
                <w:snapToGrid/>
              </w:rPr>
              <w:t xml:space="preserve">une </w:t>
            </w:r>
            <w:r w:rsidR="002B2E6F" w:rsidRPr="00BD011C">
              <w:rPr>
                <w:rFonts w:ascii="Arial" w:hAnsi="Arial" w:cs="Arial"/>
                <w:snapToGrid/>
              </w:rPr>
              <w:t>cession</w:t>
            </w:r>
            <w:r w:rsidRPr="00BD011C">
              <w:rPr>
                <w:rFonts w:ascii="Arial" w:hAnsi="Arial" w:cs="Arial"/>
                <w:snapToGrid/>
              </w:rPr>
              <w:t xml:space="preserve"> ultérieure de ces biens?</w:t>
            </w:r>
          </w:p>
          <w:p w14:paraId="7E703D96" w14:textId="3EFCA358" w:rsidR="000269E3" w:rsidRPr="00BD011C" w:rsidRDefault="000269E3" w:rsidP="00FD6C9A">
            <w:pPr>
              <w:pStyle w:val="soustitre1"/>
              <w:suppressAutoHyphens/>
              <w:spacing w:before="120" w:after="120"/>
              <w:rPr>
                <w:rFonts w:ascii="Arial" w:hAnsi="Arial" w:cs="Arial"/>
                <w:sz w:val="24"/>
              </w:rPr>
            </w:pPr>
            <w:r w:rsidRPr="00BD011C">
              <w:rPr>
                <w:rFonts w:ascii="Arial" w:hAnsi="Arial" w:cs="Arial"/>
                <w:sz w:val="20"/>
              </w:rPr>
              <w:t>(</w:t>
            </w:r>
            <w:r w:rsidRPr="00BD011C">
              <w:rPr>
                <w:rFonts w:ascii="Arial" w:hAnsi="Arial" w:cs="Arial"/>
                <w:i/>
                <w:sz w:val="20"/>
              </w:rPr>
              <w:t>Voir alinéas 85(1)f), g)</w:t>
            </w:r>
            <w:r w:rsidR="00FD6C9A">
              <w:rPr>
                <w:rFonts w:ascii="Arial" w:hAnsi="Arial" w:cs="Arial"/>
                <w:i/>
                <w:sz w:val="20"/>
              </w:rPr>
              <w:t>,</w:t>
            </w:r>
            <w:r w:rsidRPr="00BD011C">
              <w:rPr>
                <w:rFonts w:ascii="Arial" w:hAnsi="Arial" w:cs="Arial"/>
                <w:i/>
                <w:sz w:val="20"/>
              </w:rPr>
              <w:t xml:space="preserve"> h) </w:t>
            </w:r>
            <w:r w:rsidR="00E24C40">
              <w:rPr>
                <w:rFonts w:ascii="Arial" w:hAnsi="Arial" w:cs="Arial"/>
                <w:i/>
                <w:sz w:val="20"/>
              </w:rPr>
              <w:t xml:space="preserve">et i) </w:t>
            </w:r>
            <w:r w:rsidRPr="00BD011C">
              <w:rPr>
                <w:rFonts w:ascii="Arial" w:hAnsi="Arial" w:cs="Arial"/>
                <w:i/>
                <w:sz w:val="20"/>
              </w:rPr>
              <w:t xml:space="preserve">et </w:t>
            </w:r>
            <w:r w:rsidR="0072168F" w:rsidRPr="00BD011C">
              <w:rPr>
                <w:rFonts w:ascii="Arial" w:hAnsi="Arial" w:cs="Arial"/>
                <w:i/>
                <w:sz w:val="20"/>
              </w:rPr>
              <w:t>paragraphe</w:t>
            </w:r>
            <w:r w:rsidR="00FD6C9A">
              <w:rPr>
                <w:rFonts w:ascii="Arial" w:hAnsi="Arial" w:cs="Arial"/>
                <w:i/>
                <w:sz w:val="20"/>
              </w:rPr>
              <w:t> </w:t>
            </w:r>
            <w:r w:rsidRPr="00BD011C">
              <w:rPr>
                <w:rFonts w:ascii="Arial" w:hAnsi="Arial" w:cs="Arial"/>
                <w:i/>
                <w:sz w:val="20"/>
              </w:rPr>
              <w:t>85(2.1) de la LIR et article</w:t>
            </w:r>
            <w:r w:rsidR="0095557E">
              <w:rPr>
                <w:rFonts w:ascii="Arial" w:hAnsi="Arial" w:cs="Arial"/>
                <w:i/>
                <w:sz w:val="20"/>
              </w:rPr>
              <w:t> </w:t>
            </w:r>
            <w:r w:rsidR="00E24C40">
              <w:rPr>
                <w:rFonts w:ascii="Arial" w:hAnsi="Arial" w:cs="Arial"/>
                <w:i/>
                <w:sz w:val="20"/>
              </w:rPr>
              <w:t xml:space="preserve">521 et </w:t>
            </w:r>
            <w:r w:rsidRPr="00BD011C">
              <w:rPr>
                <w:rFonts w:ascii="Arial" w:hAnsi="Arial" w:cs="Arial"/>
                <w:i/>
                <w:sz w:val="20"/>
              </w:rPr>
              <w:t>528 de la LI</w:t>
            </w:r>
            <w:r w:rsidRPr="00BD011C">
              <w:rPr>
                <w:rFonts w:ascii="Arial" w:hAnsi="Arial" w:cs="Arial"/>
                <w:sz w:val="20"/>
              </w:rPr>
              <w:t>)</w:t>
            </w:r>
          </w:p>
        </w:tc>
        <w:tc>
          <w:tcPr>
            <w:tcW w:w="628" w:type="dxa"/>
            <w:shd w:val="clear" w:color="auto" w:fill="FFFFFF"/>
          </w:tcPr>
          <w:p w14:paraId="32F78FC4" w14:textId="77777777" w:rsidR="000269E3" w:rsidRPr="00BD011C" w:rsidRDefault="000269E3" w:rsidP="00FD6C9A">
            <w:pPr>
              <w:suppressAutoHyphens/>
              <w:spacing w:before="120" w:after="120"/>
              <w:jc w:val="center"/>
              <w:rPr>
                <w:rFonts w:cs="Arial"/>
              </w:rPr>
            </w:pPr>
          </w:p>
        </w:tc>
        <w:tc>
          <w:tcPr>
            <w:tcW w:w="717" w:type="dxa"/>
            <w:shd w:val="clear" w:color="auto" w:fill="FFFFFF"/>
          </w:tcPr>
          <w:p w14:paraId="5E5317CF" w14:textId="77777777" w:rsidR="000269E3" w:rsidRPr="00BD011C" w:rsidRDefault="000269E3" w:rsidP="00FD6C9A">
            <w:pPr>
              <w:suppressAutoHyphens/>
              <w:spacing w:before="120" w:after="120"/>
              <w:jc w:val="center"/>
              <w:rPr>
                <w:rFonts w:cs="Arial"/>
              </w:rPr>
            </w:pPr>
          </w:p>
        </w:tc>
        <w:tc>
          <w:tcPr>
            <w:tcW w:w="659" w:type="dxa"/>
            <w:shd w:val="clear" w:color="auto" w:fill="FFFFFF"/>
          </w:tcPr>
          <w:p w14:paraId="34C55696" w14:textId="77777777" w:rsidR="000269E3" w:rsidRPr="00BD011C" w:rsidRDefault="000269E3" w:rsidP="00FD6C9A">
            <w:pPr>
              <w:suppressAutoHyphens/>
              <w:spacing w:before="120" w:after="120"/>
              <w:jc w:val="center"/>
              <w:rPr>
                <w:rFonts w:cs="Arial"/>
              </w:rPr>
            </w:pPr>
          </w:p>
        </w:tc>
        <w:tc>
          <w:tcPr>
            <w:tcW w:w="3121" w:type="dxa"/>
            <w:shd w:val="clear" w:color="auto" w:fill="FFFFFF"/>
          </w:tcPr>
          <w:p w14:paraId="11979209" w14:textId="77777777" w:rsidR="000269E3" w:rsidRPr="00BD011C" w:rsidRDefault="000269E3" w:rsidP="00FD6C9A">
            <w:pPr>
              <w:spacing w:before="120" w:after="120"/>
              <w:jc w:val="center"/>
              <w:rPr>
                <w:rFonts w:cs="Arial"/>
              </w:rPr>
            </w:pPr>
          </w:p>
        </w:tc>
      </w:tr>
      <w:tr w:rsidR="000269E3" w:rsidRPr="00BD011C" w14:paraId="260FCE6F" w14:textId="77777777" w:rsidTr="001A637D">
        <w:trPr>
          <w:cantSplit/>
          <w:trHeight w:val="403"/>
        </w:trPr>
        <w:tc>
          <w:tcPr>
            <w:tcW w:w="4233" w:type="dxa"/>
            <w:shd w:val="clear" w:color="auto" w:fill="FFFFFF"/>
          </w:tcPr>
          <w:p w14:paraId="2A308B0D" w14:textId="77777777" w:rsidR="000269E3" w:rsidRPr="00BD011C" w:rsidRDefault="000269E3" w:rsidP="00FD6C9A">
            <w:pPr>
              <w:pStyle w:val="123"/>
              <w:suppressAutoHyphens/>
              <w:spacing w:before="120" w:after="120"/>
              <w:rPr>
                <w:rFonts w:ascii="Arial" w:hAnsi="Arial" w:cs="Arial"/>
                <w:snapToGrid/>
              </w:rPr>
            </w:pPr>
            <w:r w:rsidRPr="00BD011C">
              <w:rPr>
                <w:rFonts w:ascii="Arial" w:hAnsi="Arial" w:cs="Arial"/>
                <w:snapToGrid/>
              </w:rPr>
              <w:t xml:space="preserve">Lors de la </w:t>
            </w:r>
            <w:r w:rsidR="002B2E6F" w:rsidRPr="00BD011C">
              <w:rPr>
                <w:rFonts w:ascii="Arial" w:hAnsi="Arial" w:cs="Arial"/>
                <w:snapToGrid/>
              </w:rPr>
              <w:t>cession</w:t>
            </w:r>
            <w:r w:rsidRPr="00BD011C">
              <w:rPr>
                <w:rFonts w:ascii="Arial" w:hAnsi="Arial" w:cs="Arial"/>
                <w:snapToGrid/>
              </w:rPr>
              <w:t xml:space="preserve"> simultanée de plusieurs biens amortissables :</w:t>
            </w:r>
          </w:p>
          <w:p w14:paraId="23533E87" w14:textId="4DB0E3E5" w:rsidR="00422752" w:rsidRPr="00BD011C" w:rsidRDefault="004A359B" w:rsidP="00FD6C9A">
            <w:pPr>
              <w:pStyle w:val="a"/>
              <w:numPr>
                <w:ilvl w:val="0"/>
                <w:numId w:val="18"/>
              </w:numPr>
              <w:suppressAutoHyphens/>
              <w:spacing w:before="120" w:after="120"/>
              <w:rPr>
                <w:rFonts w:ascii="Arial" w:hAnsi="Arial" w:cs="Arial"/>
                <w:sz w:val="20"/>
              </w:rPr>
            </w:pPr>
            <w:r w:rsidRPr="00BD011C">
              <w:rPr>
                <w:rFonts w:ascii="Arial" w:hAnsi="Arial" w:cs="Arial"/>
                <w:sz w:val="20"/>
              </w:rPr>
              <w:t>A</w:t>
            </w:r>
            <w:r w:rsidR="00422752" w:rsidRPr="00BD011C">
              <w:rPr>
                <w:rFonts w:ascii="Arial" w:hAnsi="Arial" w:cs="Arial"/>
                <w:sz w:val="20"/>
              </w:rPr>
              <w:t>-t-on, dans les délais prescrits, désigné l</w:t>
            </w:r>
            <w:r w:rsidR="0095557E">
              <w:rPr>
                <w:rFonts w:ascii="Arial" w:hAnsi="Arial" w:cs="Arial"/>
                <w:sz w:val="20"/>
              </w:rPr>
              <w:t>’</w:t>
            </w:r>
            <w:r w:rsidR="00422752" w:rsidRPr="00BD011C">
              <w:rPr>
                <w:rFonts w:ascii="Arial" w:hAnsi="Arial" w:cs="Arial"/>
                <w:sz w:val="20"/>
              </w:rPr>
              <w:t>ordre de cession des biens?</w:t>
            </w:r>
          </w:p>
          <w:p w14:paraId="4B927B7D" w14:textId="6C4AF175" w:rsidR="00422752" w:rsidRPr="00BD011C" w:rsidRDefault="00422752" w:rsidP="004E2A1A">
            <w:pPr>
              <w:spacing w:before="120" w:after="120"/>
              <w:rPr>
                <w:rFonts w:cs="Arial"/>
              </w:rPr>
            </w:pPr>
            <w:r w:rsidRPr="004E2A1A">
              <w:rPr>
                <w:rFonts w:cs="Arial"/>
                <w:sz w:val="20"/>
              </w:rPr>
              <w:t>(Voir alinéa</w:t>
            </w:r>
            <w:r w:rsidR="0095557E">
              <w:rPr>
                <w:rFonts w:cs="Arial"/>
                <w:sz w:val="20"/>
              </w:rPr>
              <w:t> </w:t>
            </w:r>
            <w:r w:rsidRPr="004E2A1A">
              <w:rPr>
                <w:rFonts w:cs="Arial"/>
                <w:sz w:val="20"/>
              </w:rPr>
              <w:t>85(</w:t>
            </w:r>
            <w:proofErr w:type="gramStart"/>
            <w:r w:rsidRPr="004E2A1A">
              <w:rPr>
                <w:rFonts w:cs="Arial"/>
                <w:sz w:val="20"/>
              </w:rPr>
              <w:t>1)e.</w:t>
            </w:r>
            <w:proofErr w:type="gramEnd"/>
            <w:r w:rsidRPr="004E2A1A">
              <w:rPr>
                <w:rFonts w:cs="Arial"/>
                <w:sz w:val="20"/>
              </w:rPr>
              <w:t>1) de la LIR et article 525 de la LI)</w:t>
            </w:r>
          </w:p>
        </w:tc>
        <w:tc>
          <w:tcPr>
            <w:tcW w:w="628" w:type="dxa"/>
            <w:shd w:val="clear" w:color="auto" w:fill="FFFFFF"/>
          </w:tcPr>
          <w:p w14:paraId="4D9837F6" w14:textId="77777777" w:rsidR="000269E3" w:rsidRPr="00BD011C" w:rsidRDefault="000269E3" w:rsidP="00FD6C9A">
            <w:pPr>
              <w:suppressAutoHyphens/>
              <w:spacing w:before="120" w:after="120"/>
              <w:jc w:val="center"/>
              <w:rPr>
                <w:rFonts w:cs="Arial"/>
              </w:rPr>
            </w:pPr>
          </w:p>
        </w:tc>
        <w:tc>
          <w:tcPr>
            <w:tcW w:w="717" w:type="dxa"/>
            <w:shd w:val="clear" w:color="auto" w:fill="FFFFFF"/>
          </w:tcPr>
          <w:p w14:paraId="63A7B221" w14:textId="77777777" w:rsidR="000269E3" w:rsidRPr="00BD011C" w:rsidRDefault="000269E3" w:rsidP="00FD6C9A">
            <w:pPr>
              <w:suppressAutoHyphens/>
              <w:spacing w:before="120" w:after="120"/>
              <w:jc w:val="center"/>
              <w:rPr>
                <w:rFonts w:cs="Arial"/>
              </w:rPr>
            </w:pPr>
          </w:p>
        </w:tc>
        <w:tc>
          <w:tcPr>
            <w:tcW w:w="659" w:type="dxa"/>
            <w:shd w:val="clear" w:color="auto" w:fill="FFFFFF"/>
          </w:tcPr>
          <w:p w14:paraId="33698D0E" w14:textId="77777777" w:rsidR="000269E3" w:rsidRPr="00BD011C" w:rsidRDefault="000269E3" w:rsidP="00FD6C9A">
            <w:pPr>
              <w:suppressAutoHyphens/>
              <w:spacing w:before="120" w:after="120"/>
              <w:jc w:val="center"/>
              <w:rPr>
                <w:rFonts w:cs="Arial"/>
              </w:rPr>
            </w:pPr>
          </w:p>
        </w:tc>
        <w:tc>
          <w:tcPr>
            <w:tcW w:w="3121" w:type="dxa"/>
            <w:shd w:val="clear" w:color="auto" w:fill="FFFFFF"/>
          </w:tcPr>
          <w:p w14:paraId="73552F98" w14:textId="77777777" w:rsidR="000269E3" w:rsidRPr="00BD011C" w:rsidRDefault="000269E3" w:rsidP="00FD6C9A">
            <w:pPr>
              <w:spacing w:before="120" w:after="120"/>
              <w:jc w:val="center"/>
              <w:rPr>
                <w:rFonts w:cs="Arial"/>
              </w:rPr>
            </w:pPr>
          </w:p>
        </w:tc>
      </w:tr>
      <w:tr w:rsidR="000269E3" w:rsidRPr="00BD011C" w14:paraId="2A6146FD" w14:textId="77777777" w:rsidTr="001A637D">
        <w:trPr>
          <w:cantSplit/>
          <w:trHeight w:val="403"/>
        </w:trPr>
        <w:tc>
          <w:tcPr>
            <w:tcW w:w="4233" w:type="dxa"/>
            <w:shd w:val="clear" w:color="auto" w:fill="FFFFFF"/>
          </w:tcPr>
          <w:p w14:paraId="476F47AC" w14:textId="6DF161B4" w:rsidR="000269E3" w:rsidRPr="00BD011C" w:rsidRDefault="004A359B" w:rsidP="00FD6C9A">
            <w:pPr>
              <w:pStyle w:val="a"/>
              <w:numPr>
                <w:ilvl w:val="0"/>
                <w:numId w:val="17"/>
              </w:numPr>
              <w:suppressAutoHyphens/>
              <w:spacing w:before="120" w:after="120"/>
              <w:rPr>
                <w:rFonts w:ascii="Arial" w:hAnsi="Arial" w:cs="Arial"/>
              </w:rPr>
            </w:pPr>
            <w:r w:rsidRPr="00BD011C">
              <w:rPr>
                <w:rFonts w:ascii="Arial" w:hAnsi="Arial" w:cs="Arial"/>
                <w:sz w:val="20"/>
              </w:rPr>
              <w:t>S</w:t>
            </w:r>
            <w:r w:rsidR="000269E3" w:rsidRPr="00BD011C">
              <w:rPr>
                <w:rFonts w:ascii="Arial" w:hAnsi="Arial" w:cs="Arial"/>
                <w:sz w:val="20"/>
              </w:rPr>
              <w:t>i oui, une importance particulière est</w:t>
            </w:r>
            <w:r w:rsidR="000269E3" w:rsidRPr="00BD011C">
              <w:rPr>
                <w:rFonts w:ascii="Arial" w:hAnsi="Arial" w:cs="Arial"/>
                <w:sz w:val="20"/>
              </w:rPr>
              <w:noBreakHyphen/>
              <w:t xml:space="preserve">elle accordée à la </w:t>
            </w:r>
            <w:r w:rsidR="00657341" w:rsidRPr="00BD011C">
              <w:rPr>
                <w:rFonts w:ascii="Arial" w:hAnsi="Arial" w:cs="Arial"/>
                <w:sz w:val="20"/>
              </w:rPr>
              <w:t xml:space="preserve">JVM de la </w:t>
            </w:r>
            <w:r w:rsidR="000269E3" w:rsidRPr="00BD011C">
              <w:rPr>
                <w:rFonts w:ascii="Arial" w:hAnsi="Arial" w:cs="Arial"/>
                <w:sz w:val="20"/>
              </w:rPr>
              <w:t>contrepartie</w:t>
            </w:r>
            <w:r w:rsidR="00AF5152" w:rsidRPr="00BD011C">
              <w:rPr>
                <w:rFonts w:ascii="Arial" w:hAnsi="Arial" w:cs="Arial"/>
                <w:sz w:val="20"/>
              </w:rPr>
              <w:t xml:space="preserve"> reçue</w:t>
            </w:r>
            <w:r w:rsidR="000269E3" w:rsidRPr="00BD011C">
              <w:rPr>
                <w:rFonts w:ascii="Arial" w:hAnsi="Arial" w:cs="Arial"/>
                <w:sz w:val="20"/>
              </w:rPr>
              <w:t xml:space="preserve"> autre qu</w:t>
            </w:r>
            <w:r w:rsidR="0095557E">
              <w:rPr>
                <w:rFonts w:ascii="Arial" w:hAnsi="Arial" w:cs="Arial"/>
                <w:sz w:val="20"/>
              </w:rPr>
              <w:t>’</w:t>
            </w:r>
            <w:r w:rsidR="000269E3" w:rsidRPr="00BD011C">
              <w:rPr>
                <w:rFonts w:ascii="Arial" w:hAnsi="Arial" w:cs="Arial"/>
                <w:sz w:val="20"/>
              </w:rPr>
              <w:t>en actions afin d</w:t>
            </w:r>
            <w:r w:rsidR="0095557E">
              <w:rPr>
                <w:rFonts w:ascii="Arial" w:hAnsi="Arial" w:cs="Arial"/>
                <w:sz w:val="20"/>
              </w:rPr>
              <w:t>’</w:t>
            </w:r>
            <w:r w:rsidR="000269E3" w:rsidRPr="00BD011C">
              <w:rPr>
                <w:rFonts w:ascii="Arial" w:hAnsi="Arial" w:cs="Arial"/>
                <w:sz w:val="20"/>
              </w:rPr>
              <w:t>éviter toute récupération?</w:t>
            </w:r>
          </w:p>
        </w:tc>
        <w:tc>
          <w:tcPr>
            <w:tcW w:w="628" w:type="dxa"/>
            <w:shd w:val="clear" w:color="auto" w:fill="FFFFFF"/>
          </w:tcPr>
          <w:p w14:paraId="131D790A" w14:textId="77777777" w:rsidR="000269E3" w:rsidRPr="00BD011C" w:rsidRDefault="000269E3" w:rsidP="00FD6C9A">
            <w:pPr>
              <w:suppressAutoHyphens/>
              <w:spacing w:before="120" w:after="120"/>
              <w:jc w:val="center"/>
              <w:rPr>
                <w:rFonts w:cs="Arial"/>
              </w:rPr>
            </w:pPr>
          </w:p>
        </w:tc>
        <w:tc>
          <w:tcPr>
            <w:tcW w:w="717" w:type="dxa"/>
            <w:shd w:val="clear" w:color="auto" w:fill="FFFFFF"/>
          </w:tcPr>
          <w:p w14:paraId="6CB92928" w14:textId="77777777" w:rsidR="000269E3" w:rsidRPr="00BD011C" w:rsidRDefault="000269E3" w:rsidP="00FD6C9A">
            <w:pPr>
              <w:suppressAutoHyphens/>
              <w:spacing w:before="120" w:after="120"/>
              <w:jc w:val="center"/>
              <w:rPr>
                <w:rFonts w:cs="Arial"/>
              </w:rPr>
            </w:pPr>
          </w:p>
        </w:tc>
        <w:tc>
          <w:tcPr>
            <w:tcW w:w="659" w:type="dxa"/>
            <w:shd w:val="clear" w:color="auto" w:fill="FFFFFF"/>
          </w:tcPr>
          <w:p w14:paraId="166CCA09" w14:textId="77777777" w:rsidR="000269E3" w:rsidRPr="00BD011C" w:rsidRDefault="000269E3" w:rsidP="00FD6C9A">
            <w:pPr>
              <w:suppressAutoHyphens/>
              <w:spacing w:before="120" w:after="120"/>
              <w:jc w:val="center"/>
              <w:rPr>
                <w:rFonts w:cs="Arial"/>
              </w:rPr>
            </w:pPr>
          </w:p>
        </w:tc>
        <w:tc>
          <w:tcPr>
            <w:tcW w:w="3121" w:type="dxa"/>
            <w:shd w:val="clear" w:color="auto" w:fill="FFFFFF"/>
          </w:tcPr>
          <w:p w14:paraId="668F8153" w14:textId="77777777" w:rsidR="000269E3" w:rsidRPr="00BD011C" w:rsidRDefault="000269E3" w:rsidP="00FD6C9A">
            <w:pPr>
              <w:spacing w:before="120" w:after="120"/>
              <w:jc w:val="center"/>
              <w:rPr>
                <w:rFonts w:cs="Arial"/>
              </w:rPr>
            </w:pPr>
          </w:p>
        </w:tc>
      </w:tr>
      <w:tr w:rsidR="000269E3" w:rsidRPr="00BD011C" w14:paraId="014BE5D8" w14:textId="77777777" w:rsidTr="001A637D">
        <w:trPr>
          <w:cantSplit/>
          <w:trHeight w:val="403"/>
        </w:trPr>
        <w:tc>
          <w:tcPr>
            <w:tcW w:w="4233" w:type="dxa"/>
            <w:shd w:val="clear" w:color="auto" w:fill="FFFFFF"/>
          </w:tcPr>
          <w:p w14:paraId="70ED18B8" w14:textId="1E1FAB58" w:rsidR="000269E3" w:rsidRPr="00BD011C" w:rsidRDefault="000269E3" w:rsidP="00FD6C9A">
            <w:pPr>
              <w:pStyle w:val="123"/>
              <w:spacing w:before="120" w:after="120"/>
              <w:rPr>
                <w:rFonts w:ascii="Arial" w:hAnsi="Arial" w:cs="Arial"/>
                <w:snapToGrid/>
              </w:rPr>
            </w:pPr>
            <w:r w:rsidRPr="00BD011C">
              <w:rPr>
                <w:rFonts w:ascii="Arial" w:hAnsi="Arial" w:cs="Arial"/>
                <w:snapToGrid/>
              </w:rPr>
              <w:lastRenderedPageBreak/>
              <w:t>Dans le cadre d</w:t>
            </w:r>
            <w:r w:rsidR="0095557E">
              <w:rPr>
                <w:rFonts w:ascii="Arial" w:hAnsi="Arial" w:cs="Arial"/>
                <w:snapToGrid/>
              </w:rPr>
              <w:t>’</w:t>
            </w:r>
            <w:r w:rsidRPr="00BD011C">
              <w:rPr>
                <w:rFonts w:ascii="Arial" w:hAnsi="Arial" w:cs="Arial"/>
                <w:snapToGrid/>
              </w:rPr>
              <w:t xml:space="preserve">un </w:t>
            </w:r>
            <w:r w:rsidR="00F26DAF" w:rsidRPr="00BD011C">
              <w:rPr>
                <w:rFonts w:ascii="Arial" w:hAnsi="Arial" w:cs="Arial"/>
                <w:snapToGrid/>
              </w:rPr>
              <w:t>transfert</w:t>
            </w:r>
            <w:r w:rsidRPr="00BD011C">
              <w:rPr>
                <w:rFonts w:ascii="Arial" w:hAnsi="Arial" w:cs="Arial"/>
                <w:snapToGrid/>
              </w:rPr>
              <w:t xml:space="preserve"> effectué par une société </w:t>
            </w:r>
            <w:r w:rsidR="002B2E6F" w:rsidRPr="00BD011C">
              <w:rPr>
                <w:rFonts w:ascii="Arial" w:hAnsi="Arial" w:cs="Arial"/>
                <w:snapToGrid/>
              </w:rPr>
              <w:t>de personnes</w:t>
            </w:r>
            <w:r w:rsidRPr="00BD011C">
              <w:rPr>
                <w:rFonts w:ascii="Arial" w:hAnsi="Arial" w:cs="Arial"/>
                <w:snapToGrid/>
              </w:rPr>
              <w:t> :</w:t>
            </w:r>
          </w:p>
          <w:p w14:paraId="52DA4F9E" w14:textId="1A84A649" w:rsidR="000269E3" w:rsidRPr="00BD011C" w:rsidRDefault="000269E3" w:rsidP="004E2A1A">
            <w:pPr>
              <w:pStyle w:val="a"/>
              <w:numPr>
                <w:ilvl w:val="0"/>
                <w:numId w:val="18"/>
              </w:numPr>
              <w:suppressAutoHyphens/>
              <w:spacing w:after="120"/>
              <w:rPr>
                <w:rFonts w:ascii="Arial" w:hAnsi="Arial" w:cs="Arial"/>
                <w:sz w:val="20"/>
              </w:rPr>
            </w:pPr>
            <w:proofErr w:type="gramStart"/>
            <w:r w:rsidRPr="00BD011C">
              <w:rPr>
                <w:rFonts w:ascii="Arial" w:hAnsi="Arial" w:cs="Arial"/>
                <w:sz w:val="20"/>
              </w:rPr>
              <w:t>les</w:t>
            </w:r>
            <w:proofErr w:type="gramEnd"/>
            <w:r w:rsidRPr="00BD011C">
              <w:rPr>
                <w:rFonts w:ascii="Arial" w:hAnsi="Arial" w:cs="Arial"/>
                <w:sz w:val="20"/>
              </w:rPr>
              <w:t xml:space="preserve"> actions sont-elles émises en faveur de la société </w:t>
            </w:r>
            <w:r w:rsidR="002B2E6F" w:rsidRPr="00BD011C">
              <w:rPr>
                <w:rFonts w:ascii="Arial" w:hAnsi="Arial" w:cs="Arial"/>
                <w:sz w:val="20"/>
              </w:rPr>
              <w:t>de personnes</w:t>
            </w:r>
            <w:r w:rsidRPr="00BD011C">
              <w:rPr>
                <w:rFonts w:ascii="Arial" w:hAnsi="Arial" w:cs="Arial"/>
                <w:sz w:val="20"/>
              </w:rPr>
              <w:t xml:space="preserve"> plutôt qu</w:t>
            </w:r>
            <w:r w:rsidR="0095557E">
              <w:rPr>
                <w:rFonts w:ascii="Arial" w:hAnsi="Arial" w:cs="Arial"/>
                <w:sz w:val="20"/>
              </w:rPr>
              <w:t>’</w:t>
            </w:r>
            <w:r w:rsidRPr="00BD011C">
              <w:rPr>
                <w:rFonts w:ascii="Arial" w:hAnsi="Arial" w:cs="Arial"/>
                <w:sz w:val="20"/>
              </w:rPr>
              <w:t>au nom des associés?</w:t>
            </w:r>
          </w:p>
          <w:p w14:paraId="1C2D3525" w14:textId="6071972E" w:rsidR="000269E3" w:rsidRPr="00BD011C" w:rsidRDefault="000269E3" w:rsidP="004E2A1A">
            <w:pPr>
              <w:pStyle w:val="soustitre1"/>
              <w:spacing w:before="120" w:after="120"/>
              <w:rPr>
                <w:rFonts w:ascii="Arial" w:hAnsi="Arial" w:cs="Arial"/>
              </w:rPr>
            </w:pPr>
            <w:r w:rsidRPr="004E2A1A">
              <w:rPr>
                <w:rFonts w:ascii="Arial" w:hAnsi="Arial" w:cs="Arial"/>
                <w:i/>
                <w:sz w:val="20"/>
              </w:rPr>
              <w:t>(</w:t>
            </w:r>
            <w:r w:rsidRPr="00BD011C">
              <w:rPr>
                <w:rFonts w:ascii="Arial" w:hAnsi="Arial" w:cs="Arial"/>
                <w:i/>
                <w:sz w:val="20"/>
              </w:rPr>
              <w:t xml:space="preserve">Voir </w:t>
            </w:r>
            <w:r w:rsidR="00A71728" w:rsidRPr="00BD011C">
              <w:rPr>
                <w:rFonts w:ascii="Arial" w:hAnsi="Arial" w:cs="Arial"/>
                <w:i/>
                <w:sz w:val="20"/>
              </w:rPr>
              <w:t>paragraphe</w:t>
            </w:r>
            <w:r w:rsidRPr="00BD011C">
              <w:rPr>
                <w:rFonts w:ascii="Arial" w:hAnsi="Arial" w:cs="Arial"/>
                <w:i/>
                <w:sz w:val="20"/>
              </w:rPr>
              <w:t>s</w:t>
            </w:r>
            <w:r w:rsidR="0095557E">
              <w:rPr>
                <w:rFonts w:ascii="Arial" w:hAnsi="Arial" w:cs="Arial"/>
                <w:i/>
                <w:sz w:val="20"/>
              </w:rPr>
              <w:t> </w:t>
            </w:r>
            <w:r w:rsidRPr="00BD011C">
              <w:rPr>
                <w:rFonts w:ascii="Arial" w:hAnsi="Arial" w:cs="Arial"/>
                <w:i/>
                <w:sz w:val="20"/>
              </w:rPr>
              <w:t>85(2) et 85(3) de la LIR et articles</w:t>
            </w:r>
            <w:r w:rsidR="0095557E">
              <w:rPr>
                <w:rFonts w:ascii="Arial" w:hAnsi="Arial" w:cs="Arial"/>
                <w:i/>
                <w:sz w:val="20"/>
              </w:rPr>
              <w:t> </w:t>
            </w:r>
            <w:r w:rsidRPr="00BD011C">
              <w:rPr>
                <w:rFonts w:ascii="Arial" w:hAnsi="Arial" w:cs="Arial"/>
                <w:i/>
                <w:sz w:val="20"/>
              </w:rPr>
              <w:t>529</w:t>
            </w:r>
            <w:r w:rsidR="00AF5152" w:rsidRPr="00BD011C">
              <w:rPr>
                <w:rFonts w:ascii="Arial" w:hAnsi="Arial" w:cs="Arial"/>
                <w:i/>
                <w:sz w:val="20"/>
              </w:rPr>
              <w:t xml:space="preserve"> à</w:t>
            </w:r>
            <w:r w:rsidRPr="00BD011C">
              <w:rPr>
                <w:rFonts w:ascii="Arial" w:hAnsi="Arial" w:cs="Arial"/>
                <w:i/>
                <w:sz w:val="20"/>
              </w:rPr>
              <w:t xml:space="preserve"> 53</w:t>
            </w:r>
            <w:r w:rsidR="00114621" w:rsidRPr="00BD011C">
              <w:rPr>
                <w:rFonts w:ascii="Arial" w:hAnsi="Arial" w:cs="Arial"/>
                <w:i/>
                <w:sz w:val="20"/>
              </w:rPr>
              <w:t>3</w:t>
            </w:r>
            <w:r w:rsidRPr="00BD011C">
              <w:rPr>
                <w:rFonts w:ascii="Arial" w:hAnsi="Arial" w:cs="Arial"/>
                <w:i/>
                <w:sz w:val="20"/>
              </w:rPr>
              <w:t xml:space="preserve"> de la LI</w:t>
            </w:r>
            <w:r w:rsidRPr="004E2A1A">
              <w:rPr>
                <w:rFonts w:ascii="Arial" w:hAnsi="Arial" w:cs="Arial"/>
                <w:i/>
                <w:sz w:val="20"/>
              </w:rPr>
              <w:t>)</w:t>
            </w:r>
          </w:p>
        </w:tc>
        <w:tc>
          <w:tcPr>
            <w:tcW w:w="628" w:type="dxa"/>
            <w:shd w:val="clear" w:color="auto" w:fill="FFFFFF"/>
          </w:tcPr>
          <w:p w14:paraId="0D5C90A1" w14:textId="77777777" w:rsidR="000269E3" w:rsidRPr="00BD011C" w:rsidRDefault="000269E3" w:rsidP="00FD6C9A">
            <w:pPr>
              <w:suppressAutoHyphens/>
              <w:spacing w:before="120" w:after="120"/>
              <w:jc w:val="center"/>
              <w:rPr>
                <w:rFonts w:cs="Arial"/>
              </w:rPr>
            </w:pPr>
          </w:p>
        </w:tc>
        <w:tc>
          <w:tcPr>
            <w:tcW w:w="717" w:type="dxa"/>
            <w:shd w:val="clear" w:color="auto" w:fill="FFFFFF"/>
          </w:tcPr>
          <w:p w14:paraId="33252F34" w14:textId="77777777" w:rsidR="000269E3" w:rsidRPr="00BD011C" w:rsidRDefault="000269E3" w:rsidP="00FD6C9A">
            <w:pPr>
              <w:suppressAutoHyphens/>
              <w:spacing w:before="120" w:after="120"/>
              <w:jc w:val="center"/>
              <w:rPr>
                <w:rFonts w:cs="Arial"/>
              </w:rPr>
            </w:pPr>
          </w:p>
        </w:tc>
        <w:tc>
          <w:tcPr>
            <w:tcW w:w="659" w:type="dxa"/>
            <w:shd w:val="clear" w:color="auto" w:fill="FFFFFF"/>
          </w:tcPr>
          <w:p w14:paraId="3490B901" w14:textId="77777777" w:rsidR="000269E3" w:rsidRPr="00BD011C" w:rsidRDefault="000269E3" w:rsidP="00FD6C9A">
            <w:pPr>
              <w:suppressAutoHyphens/>
              <w:spacing w:before="120" w:after="120"/>
              <w:jc w:val="center"/>
              <w:rPr>
                <w:rFonts w:cs="Arial"/>
              </w:rPr>
            </w:pPr>
          </w:p>
        </w:tc>
        <w:tc>
          <w:tcPr>
            <w:tcW w:w="3121" w:type="dxa"/>
            <w:shd w:val="clear" w:color="auto" w:fill="FFFFFF"/>
          </w:tcPr>
          <w:p w14:paraId="2F163069" w14:textId="77777777" w:rsidR="000269E3" w:rsidRPr="00BD011C" w:rsidRDefault="000269E3" w:rsidP="00FD6C9A">
            <w:pPr>
              <w:spacing w:before="120" w:after="120"/>
              <w:jc w:val="center"/>
              <w:rPr>
                <w:rFonts w:cs="Arial"/>
              </w:rPr>
            </w:pPr>
          </w:p>
        </w:tc>
      </w:tr>
      <w:tr w:rsidR="000269E3" w:rsidRPr="00BD011C" w14:paraId="33E12A7D" w14:textId="77777777" w:rsidTr="001A637D">
        <w:trPr>
          <w:cantSplit/>
          <w:trHeight w:val="403"/>
        </w:trPr>
        <w:tc>
          <w:tcPr>
            <w:tcW w:w="4233" w:type="dxa"/>
            <w:shd w:val="clear" w:color="auto" w:fill="FFFFFF"/>
          </w:tcPr>
          <w:p w14:paraId="57BD3DB3" w14:textId="77777777" w:rsidR="000269E3" w:rsidRPr="00BD011C" w:rsidRDefault="004A359B" w:rsidP="00FD6C9A">
            <w:pPr>
              <w:pStyle w:val="a"/>
              <w:numPr>
                <w:ilvl w:val="0"/>
                <w:numId w:val="19"/>
              </w:numPr>
              <w:suppressAutoHyphens/>
              <w:spacing w:before="120" w:after="120"/>
              <w:rPr>
                <w:rFonts w:ascii="Arial" w:hAnsi="Arial" w:cs="Arial"/>
              </w:rPr>
            </w:pPr>
            <w:r w:rsidRPr="00BD011C">
              <w:rPr>
                <w:rFonts w:ascii="Arial" w:hAnsi="Arial" w:cs="Arial"/>
                <w:sz w:val="20"/>
              </w:rPr>
              <w:t>L</w:t>
            </w:r>
            <w:r w:rsidR="000269E3" w:rsidRPr="00BD011C">
              <w:rPr>
                <w:rFonts w:ascii="Arial" w:hAnsi="Arial" w:cs="Arial"/>
                <w:sz w:val="20"/>
              </w:rPr>
              <w:t>a liquidation de la société</w:t>
            </w:r>
            <w:r w:rsidR="006C2198" w:rsidRPr="00BD011C">
              <w:rPr>
                <w:rFonts w:ascii="Arial" w:hAnsi="Arial" w:cs="Arial"/>
                <w:sz w:val="20"/>
              </w:rPr>
              <w:t xml:space="preserve"> de personnes</w:t>
            </w:r>
            <w:r w:rsidR="000269E3" w:rsidRPr="00BD011C">
              <w:rPr>
                <w:rFonts w:ascii="Arial" w:hAnsi="Arial" w:cs="Arial"/>
                <w:sz w:val="20"/>
              </w:rPr>
              <w:t xml:space="preserve"> après le </w:t>
            </w:r>
            <w:r w:rsidR="00F26DAF" w:rsidRPr="00BD011C">
              <w:rPr>
                <w:rFonts w:ascii="Arial" w:hAnsi="Arial" w:cs="Arial"/>
                <w:sz w:val="20"/>
              </w:rPr>
              <w:t xml:space="preserve">transfert </w:t>
            </w:r>
            <w:r w:rsidR="000269E3" w:rsidRPr="00BD011C">
              <w:rPr>
                <w:rFonts w:ascii="Arial" w:hAnsi="Arial" w:cs="Arial"/>
                <w:sz w:val="20"/>
              </w:rPr>
              <w:t>a-t-elle été considérée</w:t>
            </w:r>
            <w:r w:rsidRPr="00BD011C">
              <w:rPr>
                <w:rFonts w:ascii="Arial" w:hAnsi="Arial" w:cs="Arial"/>
                <w:sz w:val="20"/>
              </w:rPr>
              <w:t>?</w:t>
            </w:r>
          </w:p>
        </w:tc>
        <w:tc>
          <w:tcPr>
            <w:tcW w:w="628" w:type="dxa"/>
            <w:shd w:val="clear" w:color="auto" w:fill="FFFFFF"/>
          </w:tcPr>
          <w:p w14:paraId="11F4D8A5" w14:textId="77777777" w:rsidR="000269E3" w:rsidRPr="00BD011C" w:rsidRDefault="000269E3" w:rsidP="00FD6C9A">
            <w:pPr>
              <w:suppressAutoHyphens/>
              <w:spacing w:before="120" w:after="120"/>
              <w:jc w:val="center"/>
              <w:rPr>
                <w:rFonts w:cs="Arial"/>
              </w:rPr>
            </w:pPr>
          </w:p>
        </w:tc>
        <w:tc>
          <w:tcPr>
            <w:tcW w:w="717" w:type="dxa"/>
            <w:shd w:val="clear" w:color="auto" w:fill="FFFFFF"/>
          </w:tcPr>
          <w:p w14:paraId="7927DDFF" w14:textId="77777777" w:rsidR="000269E3" w:rsidRPr="00BD011C" w:rsidRDefault="000269E3" w:rsidP="00FD6C9A">
            <w:pPr>
              <w:suppressAutoHyphens/>
              <w:spacing w:before="120" w:after="120"/>
              <w:jc w:val="center"/>
              <w:rPr>
                <w:rFonts w:cs="Arial"/>
              </w:rPr>
            </w:pPr>
          </w:p>
        </w:tc>
        <w:tc>
          <w:tcPr>
            <w:tcW w:w="659" w:type="dxa"/>
            <w:shd w:val="clear" w:color="auto" w:fill="FFFFFF"/>
          </w:tcPr>
          <w:p w14:paraId="097C785A" w14:textId="77777777" w:rsidR="000269E3" w:rsidRPr="00BD011C" w:rsidRDefault="000269E3" w:rsidP="00FD6C9A">
            <w:pPr>
              <w:suppressAutoHyphens/>
              <w:spacing w:before="120" w:after="120"/>
              <w:jc w:val="center"/>
              <w:rPr>
                <w:rFonts w:cs="Arial"/>
              </w:rPr>
            </w:pPr>
          </w:p>
        </w:tc>
        <w:tc>
          <w:tcPr>
            <w:tcW w:w="3121" w:type="dxa"/>
            <w:shd w:val="clear" w:color="auto" w:fill="FFFFFF"/>
          </w:tcPr>
          <w:p w14:paraId="0721B9CA" w14:textId="77777777" w:rsidR="000269E3" w:rsidRPr="00BD011C" w:rsidRDefault="000269E3" w:rsidP="00FD6C9A">
            <w:pPr>
              <w:spacing w:before="120" w:after="120"/>
              <w:jc w:val="center"/>
              <w:rPr>
                <w:rFonts w:cs="Arial"/>
              </w:rPr>
            </w:pPr>
          </w:p>
        </w:tc>
      </w:tr>
      <w:tr w:rsidR="000269E3" w:rsidRPr="00BD011C" w14:paraId="6122AE40" w14:textId="77777777" w:rsidTr="001A637D">
        <w:trPr>
          <w:cantSplit/>
          <w:trHeight w:val="403"/>
        </w:trPr>
        <w:tc>
          <w:tcPr>
            <w:tcW w:w="4233" w:type="dxa"/>
            <w:shd w:val="clear" w:color="auto" w:fill="FFFFFF"/>
          </w:tcPr>
          <w:p w14:paraId="6027C869" w14:textId="03E35047" w:rsidR="001A637D" w:rsidRPr="00BD011C" w:rsidRDefault="004A359B" w:rsidP="00FD6C9A">
            <w:pPr>
              <w:pStyle w:val="a"/>
              <w:numPr>
                <w:ilvl w:val="0"/>
                <w:numId w:val="20"/>
              </w:numPr>
              <w:suppressAutoHyphens/>
              <w:spacing w:before="120" w:after="120"/>
              <w:rPr>
                <w:rFonts w:ascii="Arial" w:hAnsi="Arial" w:cs="Arial"/>
                <w:sz w:val="20"/>
              </w:rPr>
            </w:pPr>
            <w:r w:rsidRPr="00BD011C">
              <w:rPr>
                <w:rFonts w:ascii="Arial" w:hAnsi="Arial" w:cs="Arial"/>
                <w:sz w:val="20"/>
              </w:rPr>
              <w:t>S</w:t>
            </w:r>
            <w:r w:rsidR="000269E3" w:rsidRPr="00BD011C">
              <w:rPr>
                <w:rFonts w:ascii="Arial" w:hAnsi="Arial" w:cs="Arial"/>
                <w:sz w:val="20"/>
              </w:rPr>
              <w:t>i oui</w:t>
            </w:r>
            <w:r w:rsidR="00657341" w:rsidRPr="00BD011C">
              <w:rPr>
                <w:rFonts w:ascii="Arial" w:hAnsi="Arial" w:cs="Arial"/>
                <w:sz w:val="20"/>
              </w:rPr>
              <w:t xml:space="preserve">, </w:t>
            </w:r>
            <w:r w:rsidR="000269E3" w:rsidRPr="00BD011C">
              <w:rPr>
                <w:rFonts w:ascii="Arial" w:hAnsi="Arial" w:cs="Arial"/>
                <w:sz w:val="20"/>
              </w:rPr>
              <w:t>la date limite</w:t>
            </w:r>
            <w:r w:rsidR="006C2198" w:rsidRPr="00BD011C">
              <w:rPr>
                <w:rFonts w:ascii="Arial" w:hAnsi="Arial" w:cs="Arial"/>
              </w:rPr>
              <w:t xml:space="preserve"> </w:t>
            </w:r>
            <w:r w:rsidR="006C2198" w:rsidRPr="00BD011C">
              <w:rPr>
                <w:rFonts w:ascii="Arial" w:hAnsi="Arial" w:cs="Arial"/>
                <w:sz w:val="20"/>
              </w:rPr>
              <w:t>de 60</w:t>
            </w:r>
            <w:r w:rsidR="0095557E">
              <w:rPr>
                <w:rFonts w:ascii="Arial" w:hAnsi="Arial" w:cs="Arial"/>
                <w:sz w:val="20"/>
              </w:rPr>
              <w:t> </w:t>
            </w:r>
            <w:r w:rsidR="006C2198" w:rsidRPr="00BD011C">
              <w:rPr>
                <w:rFonts w:ascii="Arial" w:hAnsi="Arial" w:cs="Arial"/>
                <w:sz w:val="20"/>
              </w:rPr>
              <w:t>jours après la disposition</w:t>
            </w:r>
            <w:r w:rsidR="000269E3" w:rsidRPr="00BD011C">
              <w:rPr>
                <w:rFonts w:ascii="Arial" w:hAnsi="Arial" w:cs="Arial"/>
                <w:sz w:val="20"/>
              </w:rPr>
              <w:t xml:space="preserve"> pour liquider la société </w:t>
            </w:r>
            <w:r w:rsidR="002B2E6F" w:rsidRPr="00BD011C">
              <w:rPr>
                <w:rFonts w:ascii="Arial" w:hAnsi="Arial" w:cs="Arial"/>
                <w:sz w:val="20"/>
              </w:rPr>
              <w:t>de personnes</w:t>
            </w:r>
            <w:r w:rsidR="000269E3" w:rsidRPr="00BD011C">
              <w:rPr>
                <w:rFonts w:ascii="Arial" w:hAnsi="Arial" w:cs="Arial"/>
                <w:sz w:val="20"/>
              </w:rPr>
              <w:t xml:space="preserve"> est-elle déterminée?</w:t>
            </w:r>
          </w:p>
          <w:p w14:paraId="71405D87" w14:textId="77777777" w:rsidR="006C2198" w:rsidRPr="00BD011C" w:rsidRDefault="006C2198" w:rsidP="004E2A1A">
            <w:pPr>
              <w:numPr>
                <w:ilvl w:val="0"/>
                <w:numId w:val="20"/>
              </w:numPr>
              <w:spacing w:after="120"/>
              <w:rPr>
                <w:rFonts w:cs="Arial"/>
                <w:snapToGrid w:val="0"/>
                <w:sz w:val="20"/>
              </w:rPr>
            </w:pPr>
            <w:r w:rsidRPr="00BD011C">
              <w:rPr>
                <w:rFonts w:cs="Arial"/>
                <w:snapToGrid w:val="0"/>
                <w:sz w:val="20"/>
              </w:rPr>
              <w:t>Immédiatement avant sa liquidation la société de personnes n’avait que l’argent et les biens reçus en contrepartie du transfert visé à 85(2).</w:t>
            </w:r>
          </w:p>
          <w:p w14:paraId="4D50E7C6" w14:textId="035E509F" w:rsidR="000269E3" w:rsidRPr="00BD011C" w:rsidRDefault="000269E3" w:rsidP="004E2A1A">
            <w:pPr>
              <w:pStyle w:val="soustitre1"/>
              <w:spacing w:before="120" w:after="120"/>
              <w:rPr>
                <w:rFonts w:ascii="Arial" w:hAnsi="Arial" w:cs="Arial"/>
              </w:rPr>
            </w:pPr>
            <w:r w:rsidRPr="004E2A1A">
              <w:rPr>
                <w:rFonts w:ascii="Arial" w:hAnsi="Arial" w:cs="Arial"/>
                <w:i/>
                <w:sz w:val="20"/>
              </w:rPr>
              <w:t>(</w:t>
            </w:r>
            <w:r w:rsidRPr="00BD011C">
              <w:rPr>
                <w:rFonts w:ascii="Arial" w:hAnsi="Arial" w:cs="Arial"/>
                <w:i/>
                <w:sz w:val="20"/>
              </w:rPr>
              <w:t xml:space="preserve">Voir </w:t>
            </w:r>
            <w:r w:rsidR="00A71728" w:rsidRPr="00BD011C">
              <w:rPr>
                <w:rFonts w:ascii="Arial" w:hAnsi="Arial" w:cs="Arial"/>
                <w:i/>
                <w:sz w:val="20"/>
              </w:rPr>
              <w:t>paragraphe</w:t>
            </w:r>
            <w:r w:rsidR="0095557E">
              <w:rPr>
                <w:rFonts w:ascii="Arial" w:hAnsi="Arial" w:cs="Arial"/>
                <w:i/>
                <w:sz w:val="20"/>
              </w:rPr>
              <w:t> </w:t>
            </w:r>
            <w:r w:rsidRPr="00BD011C">
              <w:rPr>
                <w:rFonts w:ascii="Arial" w:hAnsi="Arial" w:cs="Arial"/>
                <w:i/>
                <w:sz w:val="20"/>
              </w:rPr>
              <w:t>85(3) de la LIR et articles</w:t>
            </w:r>
            <w:r w:rsidR="00EC789C">
              <w:rPr>
                <w:rFonts w:ascii="Arial" w:hAnsi="Arial" w:cs="Arial"/>
                <w:i/>
                <w:sz w:val="20"/>
              </w:rPr>
              <w:t> </w:t>
            </w:r>
            <w:r w:rsidRPr="00BD011C">
              <w:rPr>
                <w:rFonts w:ascii="Arial" w:hAnsi="Arial" w:cs="Arial"/>
                <w:i/>
                <w:sz w:val="20"/>
              </w:rPr>
              <w:t xml:space="preserve">530 </w:t>
            </w:r>
            <w:r w:rsidR="00114621" w:rsidRPr="00BD011C">
              <w:rPr>
                <w:rFonts w:ascii="Arial" w:hAnsi="Arial" w:cs="Arial"/>
                <w:i/>
                <w:sz w:val="20"/>
              </w:rPr>
              <w:t>à</w:t>
            </w:r>
            <w:r w:rsidRPr="00BD011C">
              <w:rPr>
                <w:rFonts w:ascii="Arial" w:hAnsi="Arial" w:cs="Arial"/>
                <w:i/>
                <w:sz w:val="20"/>
              </w:rPr>
              <w:t xml:space="preserve"> 53</w:t>
            </w:r>
            <w:r w:rsidR="00114621" w:rsidRPr="00BD011C">
              <w:rPr>
                <w:rFonts w:ascii="Arial" w:hAnsi="Arial" w:cs="Arial"/>
                <w:i/>
                <w:sz w:val="20"/>
              </w:rPr>
              <w:t>3</w:t>
            </w:r>
            <w:r w:rsidRPr="00BD011C">
              <w:rPr>
                <w:rFonts w:ascii="Arial" w:hAnsi="Arial" w:cs="Arial"/>
                <w:i/>
                <w:sz w:val="20"/>
              </w:rPr>
              <w:t xml:space="preserve"> de la LI</w:t>
            </w:r>
            <w:r w:rsidRPr="004E2A1A">
              <w:rPr>
                <w:rFonts w:ascii="Arial" w:hAnsi="Arial" w:cs="Arial"/>
                <w:i/>
                <w:sz w:val="20"/>
              </w:rPr>
              <w:t>)</w:t>
            </w:r>
          </w:p>
        </w:tc>
        <w:tc>
          <w:tcPr>
            <w:tcW w:w="628" w:type="dxa"/>
            <w:shd w:val="clear" w:color="auto" w:fill="FFFFFF"/>
          </w:tcPr>
          <w:p w14:paraId="33D867C7" w14:textId="77777777" w:rsidR="000269E3" w:rsidRPr="00BD011C" w:rsidRDefault="000269E3" w:rsidP="00FD6C9A">
            <w:pPr>
              <w:suppressAutoHyphens/>
              <w:spacing w:before="120" w:after="120"/>
              <w:jc w:val="center"/>
              <w:rPr>
                <w:rFonts w:cs="Arial"/>
              </w:rPr>
            </w:pPr>
          </w:p>
        </w:tc>
        <w:tc>
          <w:tcPr>
            <w:tcW w:w="717" w:type="dxa"/>
            <w:shd w:val="clear" w:color="auto" w:fill="FFFFFF"/>
          </w:tcPr>
          <w:p w14:paraId="101216C3" w14:textId="77777777" w:rsidR="000269E3" w:rsidRPr="00BD011C" w:rsidRDefault="000269E3" w:rsidP="00FD6C9A">
            <w:pPr>
              <w:suppressAutoHyphens/>
              <w:spacing w:before="120" w:after="120"/>
              <w:jc w:val="center"/>
              <w:rPr>
                <w:rFonts w:cs="Arial"/>
              </w:rPr>
            </w:pPr>
          </w:p>
        </w:tc>
        <w:tc>
          <w:tcPr>
            <w:tcW w:w="659" w:type="dxa"/>
            <w:shd w:val="clear" w:color="auto" w:fill="FFFFFF"/>
          </w:tcPr>
          <w:p w14:paraId="20FFE5AC" w14:textId="77777777" w:rsidR="000269E3" w:rsidRPr="00BD011C" w:rsidRDefault="000269E3" w:rsidP="00FD6C9A">
            <w:pPr>
              <w:suppressAutoHyphens/>
              <w:spacing w:before="120" w:after="120"/>
              <w:jc w:val="center"/>
              <w:rPr>
                <w:rFonts w:cs="Arial"/>
              </w:rPr>
            </w:pPr>
          </w:p>
        </w:tc>
        <w:tc>
          <w:tcPr>
            <w:tcW w:w="3121" w:type="dxa"/>
            <w:shd w:val="clear" w:color="auto" w:fill="FFFFFF"/>
          </w:tcPr>
          <w:p w14:paraId="141ABF1E" w14:textId="77777777" w:rsidR="000269E3" w:rsidRPr="00BD011C" w:rsidRDefault="000269E3" w:rsidP="00FD6C9A">
            <w:pPr>
              <w:spacing w:before="120" w:after="120"/>
              <w:jc w:val="center"/>
              <w:rPr>
                <w:rFonts w:cs="Arial"/>
              </w:rPr>
            </w:pPr>
          </w:p>
        </w:tc>
      </w:tr>
      <w:tr w:rsidR="000269E3" w:rsidRPr="00BD011C" w14:paraId="7B5AD1E6" w14:textId="77777777" w:rsidTr="001A637D">
        <w:trPr>
          <w:cantSplit/>
          <w:trHeight w:val="403"/>
        </w:trPr>
        <w:tc>
          <w:tcPr>
            <w:tcW w:w="4233" w:type="dxa"/>
            <w:shd w:val="clear" w:color="auto" w:fill="FFFFFF"/>
          </w:tcPr>
          <w:p w14:paraId="0A83AA9D" w14:textId="5F94D667" w:rsidR="000269E3" w:rsidRPr="00BD011C" w:rsidRDefault="000269E3" w:rsidP="00FD6C9A">
            <w:pPr>
              <w:pStyle w:val="123"/>
              <w:suppressAutoHyphens/>
              <w:spacing w:before="120" w:after="120"/>
              <w:rPr>
                <w:rFonts w:ascii="Arial" w:hAnsi="Arial" w:cs="Arial"/>
                <w:snapToGrid/>
              </w:rPr>
            </w:pPr>
            <w:r w:rsidRPr="00BD011C">
              <w:rPr>
                <w:rFonts w:ascii="Arial" w:hAnsi="Arial" w:cs="Arial"/>
                <w:snapToGrid/>
              </w:rPr>
              <w:t>Dans le cadre d</w:t>
            </w:r>
            <w:r w:rsidR="0095557E">
              <w:rPr>
                <w:rFonts w:ascii="Arial" w:hAnsi="Arial" w:cs="Arial"/>
                <w:snapToGrid/>
              </w:rPr>
              <w:t>’</w:t>
            </w:r>
            <w:r w:rsidRPr="00BD011C">
              <w:rPr>
                <w:rFonts w:ascii="Arial" w:hAnsi="Arial" w:cs="Arial"/>
                <w:snapToGrid/>
              </w:rPr>
              <w:t>un transfert avec lien de dépendance, les actions privilégiées émises en contrepartie possèdent-elles les caractéristiques admissibles au sens des autorités fiscales?</w:t>
            </w:r>
          </w:p>
        </w:tc>
        <w:tc>
          <w:tcPr>
            <w:tcW w:w="628" w:type="dxa"/>
            <w:shd w:val="clear" w:color="auto" w:fill="FFFFFF"/>
          </w:tcPr>
          <w:p w14:paraId="783508F2" w14:textId="77777777" w:rsidR="000269E3" w:rsidRPr="00BD011C" w:rsidRDefault="000269E3" w:rsidP="00FD6C9A">
            <w:pPr>
              <w:suppressAutoHyphens/>
              <w:spacing w:before="120" w:after="120"/>
              <w:jc w:val="center"/>
              <w:rPr>
                <w:rFonts w:cs="Arial"/>
                <w:sz w:val="20"/>
              </w:rPr>
            </w:pPr>
          </w:p>
        </w:tc>
        <w:tc>
          <w:tcPr>
            <w:tcW w:w="717" w:type="dxa"/>
            <w:shd w:val="clear" w:color="auto" w:fill="FFFFFF"/>
          </w:tcPr>
          <w:p w14:paraId="25A529CC" w14:textId="77777777" w:rsidR="000269E3" w:rsidRPr="00BD011C" w:rsidRDefault="000269E3" w:rsidP="00FD6C9A">
            <w:pPr>
              <w:suppressAutoHyphens/>
              <w:spacing w:before="120" w:after="120"/>
              <w:jc w:val="center"/>
              <w:rPr>
                <w:rFonts w:cs="Arial"/>
                <w:sz w:val="20"/>
              </w:rPr>
            </w:pPr>
          </w:p>
        </w:tc>
        <w:tc>
          <w:tcPr>
            <w:tcW w:w="659" w:type="dxa"/>
            <w:shd w:val="clear" w:color="auto" w:fill="FFFFFF"/>
          </w:tcPr>
          <w:p w14:paraId="4C413094" w14:textId="77777777" w:rsidR="000269E3" w:rsidRPr="00BD011C" w:rsidRDefault="000269E3" w:rsidP="00FD6C9A">
            <w:pPr>
              <w:suppressAutoHyphens/>
              <w:spacing w:before="120" w:after="120"/>
              <w:jc w:val="center"/>
              <w:rPr>
                <w:rFonts w:cs="Arial"/>
                <w:sz w:val="20"/>
              </w:rPr>
            </w:pPr>
          </w:p>
        </w:tc>
        <w:tc>
          <w:tcPr>
            <w:tcW w:w="3121" w:type="dxa"/>
            <w:shd w:val="clear" w:color="auto" w:fill="FFFFFF"/>
          </w:tcPr>
          <w:p w14:paraId="7BF183D1" w14:textId="77777777" w:rsidR="000269E3" w:rsidRPr="00BD011C" w:rsidRDefault="000269E3" w:rsidP="00FD6C9A">
            <w:pPr>
              <w:spacing w:before="120" w:after="120"/>
              <w:jc w:val="center"/>
              <w:rPr>
                <w:rFonts w:cs="Arial"/>
                <w:sz w:val="20"/>
              </w:rPr>
            </w:pPr>
          </w:p>
        </w:tc>
      </w:tr>
      <w:tr w:rsidR="000269E3" w:rsidRPr="00BD011C" w14:paraId="3E561903" w14:textId="77777777" w:rsidTr="001A637D">
        <w:trPr>
          <w:cantSplit/>
          <w:trHeight w:val="403"/>
        </w:trPr>
        <w:tc>
          <w:tcPr>
            <w:tcW w:w="4233" w:type="dxa"/>
            <w:shd w:val="clear" w:color="auto" w:fill="FFFFFF"/>
          </w:tcPr>
          <w:p w14:paraId="663350D3" w14:textId="77A80E03" w:rsidR="000269E3" w:rsidRPr="00BD011C" w:rsidRDefault="000269E3" w:rsidP="00FD6C9A">
            <w:pPr>
              <w:pStyle w:val="123"/>
              <w:spacing w:before="120" w:after="120"/>
              <w:rPr>
                <w:rFonts w:ascii="Arial" w:hAnsi="Arial" w:cs="Arial"/>
                <w:snapToGrid/>
              </w:rPr>
            </w:pPr>
            <w:r w:rsidRPr="00BD011C">
              <w:rPr>
                <w:rFonts w:ascii="Arial" w:hAnsi="Arial" w:cs="Arial"/>
                <w:snapToGrid/>
              </w:rPr>
              <w:t>Dans le cadre d</w:t>
            </w:r>
            <w:r w:rsidR="0095557E">
              <w:rPr>
                <w:rFonts w:ascii="Arial" w:hAnsi="Arial" w:cs="Arial"/>
                <w:snapToGrid/>
              </w:rPr>
              <w:t>’</w:t>
            </w:r>
            <w:r w:rsidRPr="00BD011C">
              <w:rPr>
                <w:rFonts w:ascii="Arial" w:hAnsi="Arial" w:cs="Arial"/>
                <w:snapToGrid/>
              </w:rPr>
              <w:t xml:space="preserve">un transfert avec lien de dépendance, une clause </w:t>
            </w:r>
            <w:r w:rsidR="00682787" w:rsidRPr="00BD011C">
              <w:rPr>
                <w:rFonts w:ascii="Arial" w:hAnsi="Arial" w:cs="Arial"/>
                <w:snapToGrid/>
              </w:rPr>
              <w:t>de r</w:t>
            </w:r>
            <w:r w:rsidRPr="00BD011C">
              <w:rPr>
                <w:rFonts w:ascii="Arial" w:hAnsi="Arial" w:cs="Arial"/>
                <w:snapToGrid/>
              </w:rPr>
              <w:t>ajustement d</w:t>
            </w:r>
            <w:r w:rsidR="00682787" w:rsidRPr="00BD011C">
              <w:rPr>
                <w:rFonts w:ascii="Arial" w:hAnsi="Arial" w:cs="Arial"/>
                <w:snapToGrid/>
              </w:rPr>
              <w:t>u</w:t>
            </w:r>
            <w:r w:rsidRPr="00BD011C">
              <w:rPr>
                <w:rFonts w:ascii="Arial" w:hAnsi="Arial" w:cs="Arial"/>
                <w:snapToGrid/>
              </w:rPr>
              <w:t xml:space="preserve"> prix est-elle prévue?</w:t>
            </w:r>
          </w:p>
          <w:p w14:paraId="59B09A9F" w14:textId="25B0C323" w:rsidR="000269E3" w:rsidRPr="00BD011C" w:rsidRDefault="000269E3" w:rsidP="00FD6C9A">
            <w:pPr>
              <w:suppressAutoHyphens/>
              <w:spacing w:before="120" w:after="120"/>
              <w:rPr>
                <w:rFonts w:cs="Arial"/>
                <w:sz w:val="20"/>
              </w:rPr>
            </w:pPr>
            <w:r w:rsidRPr="00BD011C">
              <w:rPr>
                <w:rFonts w:cs="Arial"/>
                <w:sz w:val="20"/>
              </w:rPr>
              <w:t>(</w:t>
            </w:r>
            <w:r w:rsidRPr="00BD011C">
              <w:rPr>
                <w:rFonts w:cs="Arial"/>
                <w:i/>
                <w:sz w:val="20"/>
              </w:rPr>
              <w:t>Voir alinéa</w:t>
            </w:r>
            <w:r w:rsidR="0095557E">
              <w:rPr>
                <w:rFonts w:cs="Arial"/>
                <w:i/>
                <w:sz w:val="20"/>
              </w:rPr>
              <w:t> </w:t>
            </w:r>
            <w:r w:rsidRPr="00BD011C">
              <w:rPr>
                <w:rFonts w:cs="Arial"/>
                <w:i/>
                <w:sz w:val="20"/>
              </w:rPr>
              <w:t>85(</w:t>
            </w:r>
            <w:proofErr w:type="gramStart"/>
            <w:r w:rsidRPr="00BD011C">
              <w:rPr>
                <w:rFonts w:cs="Arial"/>
                <w:i/>
                <w:sz w:val="20"/>
              </w:rPr>
              <w:t>1)e.</w:t>
            </w:r>
            <w:proofErr w:type="gramEnd"/>
            <w:r w:rsidRPr="00BD011C">
              <w:rPr>
                <w:rFonts w:cs="Arial"/>
                <w:i/>
                <w:sz w:val="20"/>
              </w:rPr>
              <w:t>2) de la LIR et article</w:t>
            </w:r>
            <w:r w:rsidR="0095557E">
              <w:rPr>
                <w:rFonts w:cs="Arial"/>
                <w:i/>
                <w:sz w:val="20"/>
              </w:rPr>
              <w:t> </w:t>
            </w:r>
            <w:r w:rsidRPr="00BD011C">
              <w:rPr>
                <w:rFonts w:cs="Arial"/>
                <w:i/>
                <w:sz w:val="20"/>
              </w:rPr>
              <w:t>526 de la LI)</w:t>
            </w:r>
          </w:p>
        </w:tc>
        <w:tc>
          <w:tcPr>
            <w:tcW w:w="628" w:type="dxa"/>
            <w:shd w:val="clear" w:color="auto" w:fill="FFFFFF"/>
          </w:tcPr>
          <w:p w14:paraId="6728BC25" w14:textId="77777777" w:rsidR="000269E3" w:rsidRPr="00BD011C" w:rsidRDefault="000269E3" w:rsidP="00FD6C9A">
            <w:pPr>
              <w:suppressAutoHyphens/>
              <w:spacing w:before="120" w:after="120"/>
              <w:jc w:val="center"/>
              <w:rPr>
                <w:rFonts w:cs="Arial"/>
                <w:sz w:val="20"/>
              </w:rPr>
            </w:pPr>
          </w:p>
        </w:tc>
        <w:tc>
          <w:tcPr>
            <w:tcW w:w="717" w:type="dxa"/>
            <w:shd w:val="clear" w:color="auto" w:fill="FFFFFF"/>
          </w:tcPr>
          <w:p w14:paraId="20C6D759" w14:textId="77777777" w:rsidR="000269E3" w:rsidRPr="00BD011C" w:rsidRDefault="000269E3" w:rsidP="00FD6C9A">
            <w:pPr>
              <w:suppressAutoHyphens/>
              <w:spacing w:before="120" w:after="120"/>
              <w:jc w:val="center"/>
              <w:rPr>
                <w:rFonts w:cs="Arial"/>
                <w:sz w:val="20"/>
              </w:rPr>
            </w:pPr>
          </w:p>
        </w:tc>
        <w:tc>
          <w:tcPr>
            <w:tcW w:w="659" w:type="dxa"/>
            <w:shd w:val="clear" w:color="auto" w:fill="FFFFFF"/>
          </w:tcPr>
          <w:p w14:paraId="07402722" w14:textId="77777777" w:rsidR="000269E3" w:rsidRPr="00BD011C" w:rsidRDefault="000269E3" w:rsidP="00FD6C9A">
            <w:pPr>
              <w:suppressAutoHyphens/>
              <w:spacing w:before="120" w:after="120"/>
              <w:jc w:val="center"/>
              <w:rPr>
                <w:rFonts w:cs="Arial"/>
                <w:sz w:val="20"/>
              </w:rPr>
            </w:pPr>
          </w:p>
        </w:tc>
        <w:tc>
          <w:tcPr>
            <w:tcW w:w="3121" w:type="dxa"/>
            <w:shd w:val="clear" w:color="auto" w:fill="FFFFFF"/>
          </w:tcPr>
          <w:p w14:paraId="432A06DD" w14:textId="77777777" w:rsidR="000269E3" w:rsidRPr="00BD011C" w:rsidRDefault="000269E3" w:rsidP="00FD6C9A">
            <w:pPr>
              <w:spacing w:before="120" w:after="120"/>
              <w:jc w:val="center"/>
              <w:rPr>
                <w:rFonts w:cs="Arial"/>
                <w:sz w:val="20"/>
              </w:rPr>
            </w:pPr>
          </w:p>
        </w:tc>
      </w:tr>
      <w:tr w:rsidR="000269E3" w:rsidRPr="00BD011C" w14:paraId="6CA7666A" w14:textId="77777777" w:rsidTr="001A637D">
        <w:trPr>
          <w:cantSplit/>
          <w:trHeight w:val="403"/>
        </w:trPr>
        <w:tc>
          <w:tcPr>
            <w:tcW w:w="4233" w:type="dxa"/>
            <w:shd w:val="clear" w:color="auto" w:fill="FFFFFF"/>
          </w:tcPr>
          <w:p w14:paraId="080A61EF" w14:textId="77777777" w:rsidR="000269E3" w:rsidRPr="00BD011C" w:rsidRDefault="000269E3" w:rsidP="00FD6C9A">
            <w:pPr>
              <w:pStyle w:val="123"/>
              <w:suppressAutoHyphens/>
              <w:spacing w:before="120" w:after="120"/>
              <w:rPr>
                <w:rFonts w:ascii="Arial" w:hAnsi="Arial" w:cs="Arial"/>
                <w:snapToGrid/>
              </w:rPr>
            </w:pPr>
            <w:r w:rsidRPr="00BD011C">
              <w:rPr>
                <w:rFonts w:ascii="Arial" w:hAnsi="Arial" w:cs="Arial"/>
                <w:snapToGrid/>
              </w:rPr>
              <w:t>Les états financiers font-ils mention de la valeur de rachat des actions privilégiées émises dans le cadre du roulement?</w:t>
            </w:r>
          </w:p>
        </w:tc>
        <w:tc>
          <w:tcPr>
            <w:tcW w:w="628" w:type="dxa"/>
            <w:shd w:val="clear" w:color="auto" w:fill="FFFFFF"/>
          </w:tcPr>
          <w:p w14:paraId="115BB923" w14:textId="77777777" w:rsidR="000269E3" w:rsidRPr="00BD011C" w:rsidRDefault="000269E3" w:rsidP="00FD6C9A">
            <w:pPr>
              <w:suppressAutoHyphens/>
              <w:spacing w:before="120" w:after="120"/>
              <w:jc w:val="center"/>
              <w:rPr>
                <w:rFonts w:cs="Arial"/>
                <w:sz w:val="20"/>
              </w:rPr>
            </w:pPr>
          </w:p>
        </w:tc>
        <w:tc>
          <w:tcPr>
            <w:tcW w:w="717" w:type="dxa"/>
            <w:shd w:val="clear" w:color="auto" w:fill="FFFFFF"/>
          </w:tcPr>
          <w:p w14:paraId="06DA26BF" w14:textId="77777777" w:rsidR="000269E3" w:rsidRPr="00BD011C" w:rsidRDefault="000269E3" w:rsidP="00FD6C9A">
            <w:pPr>
              <w:suppressAutoHyphens/>
              <w:spacing w:before="120" w:after="120"/>
              <w:jc w:val="center"/>
              <w:rPr>
                <w:rFonts w:cs="Arial"/>
                <w:sz w:val="20"/>
              </w:rPr>
            </w:pPr>
          </w:p>
        </w:tc>
        <w:tc>
          <w:tcPr>
            <w:tcW w:w="659" w:type="dxa"/>
            <w:shd w:val="clear" w:color="auto" w:fill="FFFFFF"/>
          </w:tcPr>
          <w:p w14:paraId="7A0D153F" w14:textId="77777777" w:rsidR="000269E3" w:rsidRPr="00BD011C" w:rsidRDefault="000269E3" w:rsidP="00FD6C9A">
            <w:pPr>
              <w:suppressAutoHyphens/>
              <w:spacing w:before="120" w:after="120"/>
              <w:jc w:val="center"/>
              <w:rPr>
                <w:rFonts w:cs="Arial"/>
                <w:sz w:val="20"/>
              </w:rPr>
            </w:pPr>
          </w:p>
        </w:tc>
        <w:tc>
          <w:tcPr>
            <w:tcW w:w="3121" w:type="dxa"/>
            <w:shd w:val="clear" w:color="auto" w:fill="FFFFFF"/>
          </w:tcPr>
          <w:p w14:paraId="62F50400" w14:textId="77777777" w:rsidR="000269E3" w:rsidRPr="00BD011C" w:rsidRDefault="000269E3" w:rsidP="00FD6C9A">
            <w:pPr>
              <w:spacing w:before="120" w:after="120"/>
              <w:jc w:val="center"/>
              <w:rPr>
                <w:rFonts w:cs="Arial"/>
                <w:sz w:val="20"/>
              </w:rPr>
            </w:pPr>
          </w:p>
        </w:tc>
      </w:tr>
      <w:tr w:rsidR="000269E3" w:rsidRPr="00BD011C" w14:paraId="3F3F83D8" w14:textId="77777777" w:rsidTr="001A637D">
        <w:trPr>
          <w:cantSplit/>
          <w:trHeight w:val="403"/>
        </w:trPr>
        <w:tc>
          <w:tcPr>
            <w:tcW w:w="4233" w:type="dxa"/>
            <w:shd w:val="clear" w:color="auto" w:fill="FFFFFF"/>
          </w:tcPr>
          <w:p w14:paraId="6D10D85B" w14:textId="075EAE7A" w:rsidR="000269E3" w:rsidRPr="00BD011C" w:rsidRDefault="000269E3" w:rsidP="004E2A1A">
            <w:pPr>
              <w:pStyle w:val="123"/>
              <w:spacing w:before="120" w:after="120"/>
              <w:rPr>
                <w:rFonts w:ascii="Arial" w:hAnsi="Arial" w:cs="Arial"/>
              </w:rPr>
            </w:pPr>
            <w:r w:rsidRPr="00BD011C">
              <w:rPr>
                <w:rFonts w:ascii="Arial" w:hAnsi="Arial" w:cs="Arial"/>
                <w:snapToGrid/>
              </w:rPr>
              <w:t>Les conséquences fiscales découlant d</w:t>
            </w:r>
            <w:r w:rsidR="0095557E">
              <w:rPr>
                <w:rFonts w:ascii="Arial" w:hAnsi="Arial" w:cs="Arial"/>
                <w:snapToGrid/>
              </w:rPr>
              <w:t>’</w:t>
            </w:r>
            <w:r w:rsidRPr="00BD011C">
              <w:rPr>
                <w:rFonts w:ascii="Arial" w:hAnsi="Arial" w:cs="Arial"/>
                <w:snapToGrid/>
              </w:rPr>
              <w:t>un</w:t>
            </w:r>
            <w:r w:rsidR="00114621" w:rsidRPr="00BD011C">
              <w:rPr>
                <w:rFonts w:ascii="Arial" w:hAnsi="Arial" w:cs="Arial"/>
                <w:snapToGrid/>
              </w:rPr>
              <w:t>e</w:t>
            </w:r>
            <w:r w:rsidRPr="00BD011C">
              <w:rPr>
                <w:rFonts w:ascii="Arial" w:hAnsi="Arial" w:cs="Arial"/>
                <w:snapToGrid/>
              </w:rPr>
              <w:t xml:space="preserve"> </w:t>
            </w:r>
            <w:r w:rsidR="00114621" w:rsidRPr="00BD011C">
              <w:rPr>
                <w:rFonts w:ascii="Arial" w:hAnsi="Arial" w:cs="Arial"/>
                <w:snapToGrid/>
              </w:rPr>
              <w:t xml:space="preserve">acquisition </w:t>
            </w:r>
            <w:r w:rsidRPr="00BD011C">
              <w:rPr>
                <w:rFonts w:ascii="Arial" w:hAnsi="Arial" w:cs="Arial"/>
                <w:snapToGrid/>
              </w:rPr>
              <w:t>de contrôle</w:t>
            </w:r>
            <w:r w:rsidR="00EC789C">
              <w:rPr>
                <w:rFonts w:ascii="Arial" w:hAnsi="Arial" w:cs="Arial"/>
                <w:snapToGrid/>
              </w:rPr>
              <w:t xml:space="preserve"> à la </w:t>
            </w:r>
            <w:r w:rsidR="00114621" w:rsidRPr="00BD011C">
              <w:rPr>
                <w:rFonts w:ascii="Arial" w:hAnsi="Arial" w:cs="Arial"/>
                <w:snapToGrid/>
              </w:rPr>
              <w:t>suite</w:t>
            </w:r>
            <w:r w:rsidRPr="00BD011C">
              <w:rPr>
                <w:rFonts w:ascii="Arial" w:hAnsi="Arial" w:cs="Arial"/>
                <w:snapToGrid/>
              </w:rPr>
              <w:t xml:space="preserve"> </w:t>
            </w:r>
            <w:r w:rsidR="00EC789C">
              <w:rPr>
                <w:rFonts w:ascii="Arial" w:hAnsi="Arial" w:cs="Arial"/>
                <w:snapToGrid/>
              </w:rPr>
              <w:t>de</w:t>
            </w:r>
            <w:r w:rsidR="00114621" w:rsidRPr="00BD011C">
              <w:rPr>
                <w:rFonts w:ascii="Arial" w:hAnsi="Arial" w:cs="Arial"/>
                <w:snapToGrid/>
              </w:rPr>
              <w:t xml:space="preserve"> </w:t>
            </w:r>
            <w:r w:rsidRPr="00BD011C">
              <w:rPr>
                <w:rFonts w:ascii="Arial" w:hAnsi="Arial" w:cs="Arial"/>
                <w:snapToGrid/>
              </w:rPr>
              <w:t>l</w:t>
            </w:r>
            <w:r w:rsidR="0095557E">
              <w:rPr>
                <w:rFonts w:ascii="Arial" w:hAnsi="Arial" w:cs="Arial"/>
                <w:snapToGrid/>
              </w:rPr>
              <w:t>’</w:t>
            </w:r>
            <w:r w:rsidRPr="00BD011C">
              <w:rPr>
                <w:rFonts w:ascii="Arial" w:hAnsi="Arial" w:cs="Arial"/>
                <w:snapToGrid/>
              </w:rPr>
              <w:t xml:space="preserve">émission de nouvelles actions ont-elles </w:t>
            </w:r>
            <w:r w:rsidR="00F26DAF" w:rsidRPr="00BD011C">
              <w:rPr>
                <w:rFonts w:ascii="Arial" w:hAnsi="Arial" w:cs="Arial"/>
                <w:snapToGrid/>
              </w:rPr>
              <w:t xml:space="preserve">été </w:t>
            </w:r>
            <w:r w:rsidRPr="00BD011C">
              <w:rPr>
                <w:rFonts w:ascii="Arial" w:hAnsi="Arial" w:cs="Arial"/>
                <w:snapToGrid/>
              </w:rPr>
              <w:t>considérées?</w:t>
            </w:r>
          </w:p>
        </w:tc>
        <w:tc>
          <w:tcPr>
            <w:tcW w:w="628" w:type="dxa"/>
            <w:shd w:val="clear" w:color="auto" w:fill="FFFFFF"/>
          </w:tcPr>
          <w:p w14:paraId="3A4911F8" w14:textId="77777777" w:rsidR="000269E3" w:rsidRPr="00BD011C" w:rsidRDefault="000269E3" w:rsidP="00FD6C9A">
            <w:pPr>
              <w:suppressAutoHyphens/>
              <w:spacing w:before="120" w:after="120"/>
              <w:jc w:val="center"/>
              <w:rPr>
                <w:rFonts w:cs="Arial"/>
                <w:sz w:val="20"/>
              </w:rPr>
            </w:pPr>
          </w:p>
        </w:tc>
        <w:tc>
          <w:tcPr>
            <w:tcW w:w="717" w:type="dxa"/>
            <w:shd w:val="clear" w:color="auto" w:fill="FFFFFF"/>
          </w:tcPr>
          <w:p w14:paraId="20433B20" w14:textId="77777777" w:rsidR="000269E3" w:rsidRPr="00BD011C" w:rsidRDefault="000269E3" w:rsidP="00FD6C9A">
            <w:pPr>
              <w:suppressAutoHyphens/>
              <w:spacing w:before="120" w:after="120"/>
              <w:jc w:val="center"/>
              <w:rPr>
                <w:rFonts w:cs="Arial"/>
                <w:sz w:val="20"/>
              </w:rPr>
            </w:pPr>
          </w:p>
        </w:tc>
        <w:tc>
          <w:tcPr>
            <w:tcW w:w="659" w:type="dxa"/>
            <w:shd w:val="clear" w:color="auto" w:fill="FFFFFF"/>
          </w:tcPr>
          <w:p w14:paraId="4E4000E8" w14:textId="77777777" w:rsidR="000269E3" w:rsidRPr="00BD011C" w:rsidRDefault="000269E3" w:rsidP="00FD6C9A">
            <w:pPr>
              <w:suppressAutoHyphens/>
              <w:spacing w:before="120" w:after="120"/>
              <w:jc w:val="center"/>
              <w:rPr>
                <w:rFonts w:cs="Arial"/>
                <w:sz w:val="20"/>
              </w:rPr>
            </w:pPr>
          </w:p>
        </w:tc>
        <w:tc>
          <w:tcPr>
            <w:tcW w:w="3121" w:type="dxa"/>
            <w:shd w:val="clear" w:color="auto" w:fill="FFFFFF"/>
          </w:tcPr>
          <w:p w14:paraId="086FACA9" w14:textId="77777777" w:rsidR="000269E3" w:rsidRPr="00BD011C" w:rsidRDefault="000269E3" w:rsidP="00FD6C9A">
            <w:pPr>
              <w:spacing w:before="120" w:after="120"/>
              <w:jc w:val="center"/>
              <w:rPr>
                <w:rFonts w:cs="Arial"/>
                <w:sz w:val="20"/>
              </w:rPr>
            </w:pPr>
          </w:p>
        </w:tc>
      </w:tr>
      <w:tr w:rsidR="000269E3" w:rsidRPr="00BD011C" w14:paraId="0E58B0F4" w14:textId="77777777" w:rsidTr="001A637D">
        <w:trPr>
          <w:cantSplit/>
          <w:trHeight w:val="403"/>
        </w:trPr>
        <w:tc>
          <w:tcPr>
            <w:tcW w:w="4233" w:type="dxa"/>
            <w:shd w:val="clear" w:color="auto" w:fill="FFFFFF"/>
          </w:tcPr>
          <w:p w14:paraId="02B1D502" w14:textId="77777777" w:rsidR="000269E3" w:rsidRPr="00BD011C" w:rsidRDefault="000269E3" w:rsidP="00FD6C9A">
            <w:pPr>
              <w:pStyle w:val="Titre2"/>
              <w:spacing w:before="120" w:after="120"/>
              <w:rPr>
                <w:rFonts w:cs="Arial"/>
              </w:rPr>
            </w:pPr>
            <w:bookmarkStart w:id="20" w:name="_Toc368571838"/>
            <w:r w:rsidRPr="00BD011C">
              <w:rPr>
                <w:rFonts w:cs="Arial"/>
              </w:rPr>
              <w:lastRenderedPageBreak/>
              <w:t>Section E</w:t>
            </w:r>
            <w:r w:rsidRPr="00BD011C">
              <w:rPr>
                <w:rFonts w:cs="Arial"/>
              </w:rPr>
              <w:cr/>
              <w:t>Autres éléments à considérer</w:t>
            </w:r>
            <w:bookmarkEnd w:id="20"/>
            <w:r w:rsidRPr="00BD011C">
              <w:rPr>
                <w:rFonts w:cs="Arial"/>
              </w:rPr>
              <w:t xml:space="preserve"> </w:t>
            </w:r>
          </w:p>
          <w:p w14:paraId="7B45518A" w14:textId="177B9CFE" w:rsidR="000269E3" w:rsidRPr="00BD011C" w:rsidRDefault="000269E3" w:rsidP="00FD6C9A">
            <w:pPr>
              <w:pStyle w:val="soustitre1"/>
              <w:suppressAutoHyphens/>
              <w:spacing w:before="120" w:after="120"/>
              <w:rPr>
                <w:rFonts w:ascii="Arial" w:hAnsi="Arial" w:cs="Arial"/>
                <w:sz w:val="24"/>
              </w:rPr>
            </w:pPr>
            <w:r w:rsidRPr="00BD011C">
              <w:rPr>
                <w:rFonts w:ascii="Arial" w:hAnsi="Arial" w:cs="Arial"/>
                <w:sz w:val="20"/>
              </w:rPr>
              <w:t xml:space="preserve">Sur </w:t>
            </w:r>
            <w:r w:rsidR="00F26DAF" w:rsidRPr="00BD011C">
              <w:rPr>
                <w:rFonts w:ascii="Arial" w:hAnsi="Arial" w:cs="Arial"/>
                <w:sz w:val="20"/>
              </w:rPr>
              <w:t>les</w:t>
            </w:r>
            <w:r w:rsidRPr="00BD011C">
              <w:rPr>
                <w:rFonts w:ascii="Arial" w:hAnsi="Arial" w:cs="Arial"/>
                <w:sz w:val="20"/>
              </w:rPr>
              <w:t xml:space="preserve"> formulaires de roulement, les éléments d</w:t>
            </w:r>
            <w:r w:rsidR="0095557E">
              <w:rPr>
                <w:rFonts w:ascii="Arial" w:hAnsi="Arial" w:cs="Arial"/>
                <w:sz w:val="20"/>
              </w:rPr>
              <w:t>’</w:t>
            </w:r>
            <w:r w:rsidRPr="00BD011C">
              <w:rPr>
                <w:rFonts w:ascii="Arial" w:hAnsi="Arial" w:cs="Arial"/>
                <w:sz w:val="20"/>
              </w:rPr>
              <w:t>actif</w:t>
            </w:r>
            <w:r w:rsidR="00114621" w:rsidRPr="00BD011C">
              <w:rPr>
                <w:rFonts w:ascii="Arial" w:hAnsi="Arial" w:cs="Arial"/>
                <w:sz w:val="20"/>
              </w:rPr>
              <w:t xml:space="preserve">s </w:t>
            </w:r>
            <w:r w:rsidRPr="00BD011C">
              <w:rPr>
                <w:rFonts w:ascii="Arial" w:hAnsi="Arial" w:cs="Arial"/>
                <w:sz w:val="20"/>
              </w:rPr>
              <w:t>suivants sont-ils pris en compte :</w:t>
            </w:r>
          </w:p>
        </w:tc>
        <w:tc>
          <w:tcPr>
            <w:tcW w:w="628" w:type="dxa"/>
            <w:shd w:val="clear" w:color="auto" w:fill="FFFFFF"/>
          </w:tcPr>
          <w:p w14:paraId="2D561498" w14:textId="77777777" w:rsidR="000269E3" w:rsidRPr="00BD011C" w:rsidRDefault="000269E3" w:rsidP="00FD6C9A">
            <w:pPr>
              <w:suppressAutoHyphens/>
              <w:spacing w:before="120" w:after="120"/>
              <w:jc w:val="center"/>
              <w:rPr>
                <w:rFonts w:cs="Arial"/>
              </w:rPr>
            </w:pPr>
          </w:p>
        </w:tc>
        <w:tc>
          <w:tcPr>
            <w:tcW w:w="717" w:type="dxa"/>
            <w:shd w:val="clear" w:color="auto" w:fill="FFFFFF"/>
          </w:tcPr>
          <w:p w14:paraId="5A60E68E" w14:textId="77777777" w:rsidR="000269E3" w:rsidRPr="00BD011C" w:rsidRDefault="000269E3" w:rsidP="00FD6C9A">
            <w:pPr>
              <w:suppressAutoHyphens/>
              <w:spacing w:before="120" w:after="120"/>
              <w:jc w:val="center"/>
              <w:rPr>
                <w:rFonts w:cs="Arial"/>
              </w:rPr>
            </w:pPr>
          </w:p>
        </w:tc>
        <w:tc>
          <w:tcPr>
            <w:tcW w:w="659" w:type="dxa"/>
            <w:shd w:val="clear" w:color="auto" w:fill="FFFFFF"/>
          </w:tcPr>
          <w:p w14:paraId="5279BF89" w14:textId="77777777" w:rsidR="000269E3" w:rsidRPr="00BD011C" w:rsidRDefault="000269E3" w:rsidP="00FD6C9A">
            <w:pPr>
              <w:suppressAutoHyphens/>
              <w:spacing w:before="120" w:after="120"/>
              <w:jc w:val="center"/>
              <w:rPr>
                <w:rFonts w:cs="Arial"/>
              </w:rPr>
            </w:pPr>
          </w:p>
        </w:tc>
        <w:tc>
          <w:tcPr>
            <w:tcW w:w="3121" w:type="dxa"/>
            <w:shd w:val="clear" w:color="auto" w:fill="FFFFFF"/>
          </w:tcPr>
          <w:p w14:paraId="23B5BE77" w14:textId="77777777" w:rsidR="000269E3" w:rsidRPr="00BD011C" w:rsidRDefault="000269E3" w:rsidP="00FD6C9A">
            <w:pPr>
              <w:spacing w:before="120" w:after="120"/>
              <w:jc w:val="center"/>
              <w:rPr>
                <w:rFonts w:cs="Arial"/>
              </w:rPr>
            </w:pPr>
          </w:p>
        </w:tc>
      </w:tr>
      <w:tr w:rsidR="000269E3" w:rsidRPr="00BD011C" w14:paraId="2518AEFE" w14:textId="77777777" w:rsidTr="001A637D">
        <w:trPr>
          <w:cantSplit/>
          <w:trHeight w:val="403"/>
        </w:trPr>
        <w:tc>
          <w:tcPr>
            <w:tcW w:w="4233" w:type="dxa"/>
            <w:shd w:val="clear" w:color="auto" w:fill="FFFFFF"/>
          </w:tcPr>
          <w:p w14:paraId="7B892C52" w14:textId="77777777" w:rsidR="000269E3" w:rsidRPr="00BD011C" w:rsidRDefault="000269E3" w:rsidP="00FD6C9A">
            <w:pPr>
              <w:pStyle w:val="a"/>
              <w:numPr>
                <w:ilvl w:val="0"/>
                <w:numId w:val="21"/>
              </w:numPr>
              <w:suppressAutoHyphens/>
              <w:spacing w:before="120" w:after="120"/>
              <w:rPr>
                <w:rFonts w:ascii="Arial" w:hAnsi="Arial" w:cs="Arial"/>
              </w:rPr>
            </w:pPr>
            <w:r w:rsidRPr="00BD011C">
              <w:rPr>
                <w:rFonts w:ascii="Arial" w:hAnsi="Arial" w:cs="Arial"/>
                <w:sz w:val="20"/>
              </w:rPr>
              <w:t>les biens totalement amortis (catégories 12</w:t>
            </w:r>
            <w:r w:rsidR="00511B1E" w:rsidRPr="00BD011C">
              <w:rPr>
                <w:rFonts w:ascii="Arial" w:hAnsi="Arial" w:cs="Arial"/>
                <w:sz w:val="20"/>
              </w:rPr>
              <w:t xml:space="preserve">, </w:t>
            </w:r>
            <w:r w:rsidRPr="00BD011C">
              <w:rPr>
                <w:rFonts w:ascii="Arial" w:hAnsi="Arial" w:cs="Arial"/>
                <w:sz w:val="20"/>
              </w:rPr>
              <w:t>29</w:t>
            </w:r>
            <w:r w:rsidR="00511B1E" w:rsidRPr="00BD011C">
              <w:rPr>
                <w:rFonts w:ascii="Arial" w:hAnsi="Arial" w:cs="Arial"/>
                <w:sz w:val="20"/>
              </w:rPr>
              <w:t>, 43, 52</w:t>
            </w:r>
            <w:r w:rsidRPr="00BD011C">
              <w:rPr>
                <w:rFonts w:ascii="Arial" w:hAnsi="Arial" w:cs="Arial"/>
                <w:sz w:val="20"/>
              </w:rPr>
              <w:t>),</w:t>
            </w:r>
          </w:p>
        </w:tc>
        <w:tc>
          <w:tcPr>
            <w:tcW w:w="628" w:type="dxa"/>
            <w:shd w:val="clear" w:color="auto" w:fill="FFFFFF"/>
          </w:tcPr>
          <w:p w14:paraId="58764205" w14:textId="77777777" w:rsidR="000269E3" w:rsidRPr="00BD011C" w:rsidRDefault="000269E3" w:rsidP="00FD6C9A">
            <w:pPr>
              <w:suppressAutoHyphens/>
              <w:spacing w:before="120" w:after="120"/>
              <w:jc w:val="center"/>
              <w:rPr>
                <w:rFonts w:cs="Arial"/>
              </w:rPr>
            </w:pPr>
          </w:p>
        </w:tc>
        <w:tc>
          <w:tcPr>
            <w:tcW w:w="717" w:type="dxa"/>
            <w:shd w:val="clear" w:color="auto" w:fill="FFFFFF"/>
          </w:tcPr>
          <w:p w14:paraId="4BCF99F3" w14:textId="77777777" w:rsidR="000269E3" w:rsidRPr="00BD011C" w:rsidRDefault="000269E3" w:rsidP="00FD6C9A">
            <w:pPr>
              <w:suppressAutoHyphens/>
              <w:spacing w:before="120" w:after="120"/>
              <w:jc w:val="center"/>
              <w:rPr>
                <w:rFonts w:cs="Arial"/>
              </w:rPr>
            </w:pPr>
          </w:p>
        </w:tc>
        <w:tc>
          <w:tcPr>
            <w:tcW w:w="659" w:type="dxa"/>
            <w:shd w:val="clear" w:color="auto" w:fill="FFFFFF"/>
          </w:tcPr>
          <w:p w14:paraId="7651DAD6" w14:textId="77777777" w:rsidR="000269E3" w:rsidRPr="00BD011C" w:rsidRDefault="000269E3" w:rsidP="00FD6C9A">
            <w:pPr>
              <w:suppressAutoHyphens/>
              <w:spacing w:before="120" w:after="120"/>
              <w:jc w:val="center"/>
              <w:rPr>
                <w:rFonts w:cs="Arial"/>
              </w:rPr>
            </w:pPr>
          </w:p>
        </w:tc>
        <w:tc>
          <w:tcPr>
            <w:tcW w:w="3121" w:type="dxa"/>
            <w:shd w:val="clear" w:color="auto" w:fill="FFFFFF"/>
          </w:tcPr>
          <w:p w14:paraId="3D454299" w14:textId="77777777" w:rsidR="000269E3" w:rsidRPr="00BD011C" w:rsidRDefault="000269E3" w:rsidP="00FD6C9A">
            <w:pPr>
              <w:spacing w:before="120" w:after="120"/>
              <w:jc w:val="center"/>
              <w:rPr>
                <w:rFonts w:cs="Arial"/>
              </w:rPr>
            </w:pPr>
          </w:p>
        </w:tc>
      </w:tr>
      <w:tr w:rsidR="000269E3" w:rsidRPr="00BD011C" w14:paraId="2F9105CC" w14:textId="77777777" w:rsidTr="001A637D">
        <w:trPr>
          <w:cantSplit/>
          <w:trHeight w:val="403"/>
        </w:trPr>
        <w:tc>
          <w:tcPr>
            <w:tcW w:w="4233" w:type="dxa"/>
            <w:shd w:val="clear" w:color="auto" w:fill="FFFFFF"/>
          </w:tcPr>
          <w:p w14:paraId="3EFDFDB9" w14:textId="77777777" w:rsidR="000269E3" w:rsidRPr="00BD011C" w:rsidRDefault="000269E3" w:rsidP="00FD6C9A">
            <w:pPr>
              <w:pStyle w:val="a"/>
              <w:numPr>
                <w:ilvl w:val="0"/>
                <w:numId w:val="22"/>
              </w:numPr>
              <w:spacing w:before="120" w:after="120"/>
              <w:rPr>
                <w:rFonts w:ascii="Arial" w:hAnsi="Arial" w:cs="Arial"/>
              </w:rPr>
            </w:pPr>
            <w:r w:rsidRPr="00BD011C">
              <w:rPr>
                <w:rFonts w:ascii="Arial" w:hAnsi="Arial" w:cs="Arial"/>
                <w:sz w:val="20"/>
              </w:rPr>
              <w:t>les biens intangibles</w:t>
            </w:r>
            <w:r w:rsidR="007B027E" w:rsidRPr="00BD011C">
              <w:rPr>
                <w:rFonts w:ascii="Arial" w:hAnsi="Arial" w:cs="Arial"/>
                <w:sz w:val="20"/>
              </w:rPr>
              <w:t xml:space="preserve"> sans bases fiscales</w:t>
            </w:r>
            <w:r w:rsidRPr="00BD011C">
              <w:rPr>
                <w:rFonts w:ascii="Arial" w:hAnsi="Arial" w:cs="Arial"/>
                <w:sz w:val="20"/>
              </w:rPr>
              <w:t xml:space="preserve"> (achalandage</w:t>
            </w:r>
            <w:r w:rsidR="00114621" w:rsidRPr="00BD011C">
              <w:rPr>
                <w:rFonts w:ascii="Arial" w:hAnsi="Arial" w:cs="Arial"/>
                <w:sz w:val="20"/>
              </w:rPr>
              <w:t>, clientèle</w:t>
            </w:r>
            <w:r w:rsidRPr="00BD011C">
              <w:rPr>
                <w:rFonts w:ascii="Arial" w:hAnsi="Arial" w:cs="Arial"/>
                <w:sz w:val="20"/>
              </w:rPr>
              <w:t>)</w:t>
            </w:r>
          </w:p>
        </w:tc>
        <w:tc>
          <w:tcPr>
            <w:tcW w:w="628" w:type="dxa"/>
            <w:shd w:val="clear" w:color="auto" w:fill="FFFFFF"/>
          </w:tcPr>
          <w:p w14:paraId="30FB6592" w14:textId="77777777" w:rsidR="000269E3" w:rsidRPr="00BD011C" w:rsidRDefault="000269E3" w:rsidP="00FD6C9A">
            <w:pPr>
              <w:spacing w:before="120" w:after="120"/>
              <w:jc w:val="center"/>
              <w:rPr>
                <w:rFonts w:cs="Arial"/>
              </w:rPr>
            </w:pPr>
          </w:p>
        </w:tc>
        <w:tc>
          <w:tcPr>
            <w:tcW w:w="717" w:type="dxa"/>
            <w:shd w:val="clear" w:color="auto" w:fill="FFFFFF"/>
          </w:tcPr>
          <w:p w14:paraId="377450D4" w14:textId="77777777" w:rsidR="000269E3" w:rsidRPr="00BD011C" w:rsidRDefault="000269E3" w:rsidP="00FD6C9A">
            <w:pPr>
              <w:spacing w:before="120" w:after="120"/>
              <w:jc w:val="center"/>
              <w:rPr>
                <w:rFonts w:cs="Arial"/>
              </w:rPr>
            </w:pPr>
          </w:p>
        </w:tc>
        <w:tc>
          <w:tcPr>
            <w:tcW w:w="659" w:type="dxa"/>
            <w:shd w:val="clear" w:color="auto" w:fill="FFFFFF"/>
          </w:tcPr>
          <w:p w14:paraId="044DB71A" w14:textId="77777777" w:rsidR="000269E3" w:rsidRPr="00BD011C" w:rsidRDefault="000269E3" w:rsidP="00FD6C9A">
            <w:pPr>
              <w:spacing w:before="120" w:after="120"/>
              <w:jc w:val="center"/>
              <w:rPr>
                <w:rFonts w:cs="Arial"/>
              </w:rPr>
            </w:pPr>
          </w:p>
        </w:tc>
        <w:tc>
          <w:tcPr>
            <w:tcW w:w="3121" w:type="dxa"/>
            <w:shd w:val="clear" w:color="auto" w:fill="FFFFFF"/>
          </w:tcPr>
          <w:p w14:paraId="34760B01" w14:textId="77777777" w:rsidR="000269E3" w:rsidRPr="00BD011C" w:rsidRDefault="000269E3" w:rsidP="00FD6C9A">
            <w:pPr>
              <w:spacing w:before="120" w:after="120"/>
              <w:jc w:val="center"/>
              <w:rPr>
                <w:rFonts w:cs="Arial"/>
              </w:rPr>
            </w:pPr>
          </w:p>
        </w:tc>
      </w:tr>
      <w:tr w:rsidR="000269E3" w:rsidRPr="00BD011C" w14:paraId="757F21DC" w14:textId="77777777" w:rsidTr="001A637D">
        <w:trPr>
          <w:cantSplit/>
          <w:trHeight w:val="403"/>
        </w:trPr>
        <w:tc>
          <w:tcPr>
            <w:tcW w:w="4233" w:type="dxa"/>
            <w:shd w:val="clear" w:color="auto" w:fill="FFFFFF"/>
          </w:tcPr>
          <w:p w14:paraId="6998342E" w14:textId="77777777" w:rsidR="000269E3" w:rsidRPr="00BD011C" w:rsidRDefault="00F805B2" w:rsidP="00FD6C9A">
            <w:pPr>
              <w:pStyle w:val="a"/>
              <w:numPr>
                <w:ilvl w:val="0"/>
                <w:numId w:val="23"/>
              </w:numPr>
              <w:spacing w:before="120" w:after="120"/>
              <w:rPr>
                <w:rFonts w:ascii="Arial" w:hAnsi="Arial" w:cs="Arial"/>
              </w:rPr>
            </w:pPr>
            <w:r w:rsidRPr="00BD011C">
              <w:rPr>
                <w:rFonts w:ascii="Arial" w:hAnsi="Arial" w:cs="Arial"/>
                <w:sz w:val="20"/>
              </w:rPr>
              <w:t>les</w:t>
            </w:r>
            <w:r w:rsidR="000269E3" w:rsidRPr="00BD011C">
              <w:rPr>
                <w:rFonts w:ascii="Arial" w:hAnsi="Arial" w:cs="Arial"/>
                <w:sz w:val="20"/>
              </w:rPr>
              <w:t xml:space="preserve"> bien</w:t>
            </w:r>
            <w:r w:rsidRPr="00BD011C">
              <w:rPr>
                <w:rFonts w:ascii="Arial" w:hAnsi="Arial" w:cs="Arial"/>
                <w:sz w:val="20"/>
              </w:rPr>
              <w:t>s</w:t>
            </w:r>
            <w:r w:rsidR="000269E3" w:rsidRPr="00BD011C">
              <w:rPr>
                <w:rFonts w:ascii="Arial" w:hAnsi="Arial" w:cs="Arial"/>
                <w:sz w:val="20"/>
              </w:rPr>
              <w:t xml:space="preserve"> radié</w:t>
            </w:r>
            <w:r w:rsidRPr="00BD011C">
              <w:rPr>
                <w:rFonts w:ascii="Arial" w:hAnsi="Arial" w:cs="Arial"/>
                <w:sz w:val="20"/>
              </w:rPr>
              <w:t>s</w:t>
            </w:r>
            <w:r w:rsidR="000269E3" w:rsidRPr="00BD011C">
              <w:rPr>
                <w:rFonts w:ascii="Arial" w:hAnsi="Arial" w:cs="Arial"/>
                <w:sz w:val="20"/>
              </w:rPr>
              <w:t xml:space="preserve"> des livres?</w:t>
            </w:r>
          </w:p>
        </w:tc>
        <w:tc>
          <w:tcPr>
            <w:tcW w:w="628" w:type="dxa"/>
            <w:shd w:val="clear" w:color="auto" w:fill="FFFFFF"/>
          </w:tcPr>
          <w:p w14:paraId="0F16B715" w14:textId="77777777" w:rsidR="000269E3" w:rsidRPr="00BD011C" w:rsidRDefault="000269E3" w:rsidP="00FD6C9A">
            <w:pPr>
              <w:spacing w:before="120" w:after="120"/>
              <w:jc w:val="center"/>
              <w:rPr>
                <w:rFonts w:cs="Arial"/>
              </w:rPr>
            </w:pPr>
          </w:p>
        </w:tc>
        <w:tc>
          <w:tcPr>
            <w:tcW w:w="717" w:type="dxa"/>
            <w:shd w:val="clear" w:color="auto" w:fill="FFFFFF"/>
          </w:tcPr>
          <w:p w14:paraId="757A6975" w14:textId="77777777" w:rsidR="000269E3" w:rsidRPr="00BD011C" w:rsidRDefault="000269E3" w:rsidP="00FD6C9A">
            <w:pPr>
              <w:spacing w:before="120" w:after="120"/>
              <w:jc w:val="center"/>
              <w:rPr>
                <w:rFonts w:cs="Arial"/>
              </w:rPr>
            </w:pPr>
          </w:p>
        </w:tc>
        <w:tc>
          <w:tcPr>
            <w:tcW w:w="659" w:type="dxa"/>
            <w:shd w:val="clear" w:color="auto" w:fill="FFFFFF"/>
          </w:tcPr>
          <w:p w14:paraId="742C9C9F" w14:textId="77777777" w:rsidR="000269E3" w:rsidRPr="00BD011C" w:rsidRDefault="000269E3" w:rsidP="00FD6C9A">
            <w:pPr>
              <w:spacing w:before="120" w:after="120"/>
              <w:jc w:val="center"/>
              <w:rPr>
                <w:rFonts w:cs="Arial"/>
              </w:rPr>
            </w:pPr>
          </w:p>
        </w:tc>
        <w:tc>
          <w:tcPr>
            <w:tcW w:w="3121" w:type="dxa"/>
            <w:shd w:val="clear" w:color="auto" w:fill="FFFFFF"/>
          </w:tcPr>
          <w:p w14:paraId="6E8167FC" w14:textId="77777777" w:rsidR="000269E3" w:rsidRPr="00BD011C" w:rsidRDefault="000269E3" w:rsidP="00FD6C9A">
            <w:pPr>
              <w:spacing w:before="120" w:after="120"/>
              <w:jc w:val="center"/>
              <w:rPr>
                <w:rFonts w:cs="Arial"/>
              </w:rPr>
            </w:pPr>
          </w:p>
        </w:tc>
      </w:tr>
      <w:tr w:rsidR="000269E3" w:rsidRPr="00BD011C" w14:paraId="31BF1785" w14:textId="77777777" w:rsidTr="001A637D">
        <w:trPr>
          <w:cantSplit/>
          <w:trHeight w:val="403"/>
        </w:trPr>
        <w:tc>
          <w:tcPr>
            <w:tcW w:w="4233" w:type="dxa"/>
            <w:shd w:val="clear" w:color="auto" w:fill="FFFFFF"/>
          </w:tcPr>
          <w:p w14:paraId="2942E3BE" w14:textId="77777777" w:rsidR="000269E3" w:rsidRPr="00BD011C" w:rsidRDefault="000269E3" w:rsidP="00FD6C9A">
            <w:pPr>
              <w:pStyle w:val="123"/>
              <w:spacing w:before="120" w:after="120"/>
              <w:rPr>
                <w:rFonts w:ascii="Arial" w:hAnsi="Arial" w:cs="Arial"/>
                <w:snapToGrid/>
              </w:rPr>
            </w:pPr>
            <w:r w:rsidRPr="00BD011C">
              <w:rPr>
                <w:rFonts w:ascii="Arial" w:hAnsi="Arial" w:cs="Arial"/>
                <w:snapToGrid/>
              </w:rPr>
              <w:t>Formulaires de roulement et déclaration de revenu :</w:t>
            </w:r>
          </w:p>
          <w:p w14:paraId="0627BC61" w14:textId="098F67C1" w:rsidR="000269E3" w:rsidRPr="00BD011C" w:rsidRDefault="000269E3" w:rsidP="004E2A1A">
            <w:pPr>
              <w:pStyle w:val="a"/>
              <w:numPr>
                <w:ilvl w:val="0"/>
                <w:numId w:val="24"/>
              </w:numPr>
              <w:spacing w:after="120"/>
              <w:rPr>
                <w:rFonts w:ascii="Arial" w:hAnsi="Arial" w:cs="Arial"/>
              </w:rPr>
            </w:pPr>
            <w:r w:rsidRPr="00BD011C">
              <w:rPr>
                <w:rFonts w:ascii="Arial" w:hAnsi="Arial" w:cs="Arial"/>
                <w:sz w:val="20"/>
              </w:rPr>
              <w:t>La première personne (cédant ou cessionnaire) à produire sa déclaration de revenu pour l</w:t>
            </w:r>
            <w:r w:rsidR="0095557E">
              <w:rPr>
                <w:rFonts w:ascii="Arial" w:hAnsi="Arial" w:cs="Arial"/>
                <w:sz w:val="20"/>
              </w:rPr>
              <w:t>’</w:t>
            </w:r>
            <w:r w:rsidRPr="00BD011C">
              <w:rPr>
                <w:rFonts w:ascii="Arial" w:hAnsi="Arial" w:cs="Arial"/>
                <w:sz w:val="20"/>
              </w:rPr>
              <w:t>année du roulement est</w:t>
            </w:r>
            <w:r w:rsidRPr="00BD011C">
              <w:rPr>
                <w:rFonts w:ascii="Arial" w:hAnsi="Arial" w:cs="Arial"/>
                <w:sz w:val="20"/>
              </w:rPr>
              <w:noBreakHyphen/>
              <w:t>elle déterminée?</w:t>
            </w:r>
          </w:p>
        </w:tc>
        <w:tc>
          <w:tcPr>
            <w:tcW w:w="628" w:type="dxa"/>
            <w:shd w:val="clear" w:color="auto" w:fill="FFFFFF"/>
          </w:tcPr>
          <w:p w14:paraId="3D728C3C" w14:textId="77777777" w:rsidR="000269E3" w:rsidRPr="00BD011C" w:rsidRDefault="000269E3" w:rsidP="00FD6C9A">
            <w:pPr>
              <w:spacing w:before="120" w:after="120"/>
              <w:jc w:val="center"/>
              <w:rPr>
                <w:rFonts w:cs="Arial"/>
              </w:rPr>
            </w:pPr>
          </w:p>
        </w:tc>
        <w:tc>
          <w:tcPr>
            <w:tcW w:w="717" w:type="dxa"/>
            <w:shd w:val="clear" w:color="auto" w:fill="FFFFFF"/>
          </w:tcPr>
          <w:p w14:paraId="6E7AC012" w14:textId="77777777" w:rsidR="000269E3" w:rsidRPr="00BD011C" w:rsidRDefault="000269E3" w:rsidP="00FD6C9A">
            <w:pPr>
              <w:spacing w:before="120" w:after="120"/>
              <w:jc w:val="center"/>
              <w:rPr>
                <w:rFonts w:cs="Arial"/>
              </w:rPr>
            </w:pPr>
          </w:p>
        </w:tc>
        <w:tc>
          <w:tcPr>
            <w:tcW w:w="659" w:type="dxa"/>
            <w:shd w:val="clear" w:color="auto" w:fill="FFFFFF"/>
          </w:tcPr>
          <w:p w14:paraId="7627706A" w14:textId="77777777" w:rsidR="000269E3" w:rsidRPr="00BD011C" w:rsidRDefault="000269E3" w:rsidP="00FD6C9A">
            <w:pPr>
              <w:spacing w:before="120" w:after="120"/>
              <w:jc w:val="center"/>
              <w:rPr>
                <w:rFonts w:cs="Arial"/>
              </w:rPr>
            </w:pPr>
          </w:p>
        </w:tc>
        <w:tc>
          <w:tcPr>
            <w:tcW w:w="3121" w:type="dxa"/>
            <w:shd w:val="clear" w:color="auto" w:fill="FFFFFF"/>
          </w:tcPr>
          <w:p w14:paraId="621098B4" w14:textId="77777777" w:rsidR="000269E3" w:rsidRPr="00BD011C" w:rsidRDefault="000269E3" w:rsidP="00FD6C9A">
            <w:pPr>
              <w:spacing w:before="120" w:after="120"/>
              <w:jc w:val="center"/>
              <w:rPr>
                <w:rFonts w:cs="Arial"/>
              </w:rPr>
            </w:pPr>
          </w:p>
        </w:tc>
      </w:tr>
      <w:tr w:rsidR="000269E3" w:rsidRPr="00BD011C" w14:paraId="099E15A3" w14:textId="77777777" w:rsidTr="001A637D">
        <w:trPr>
          <w:cantSplit/>
          <w:trHeight w:val="403"/>
        </w:trPr>
        <w:tc>
          <w:tcPr>
            <w:tcW w:w="4233" w:type="dxa"/>
            <w:shd w:val="clear" w:color="auto" w:fill="FFFFFF"/>
          </w:tcPr>
          <w:p w14:paraId="0AF612E6" w14:textId="5904478A" w:rsidR="000269E3" w:rsidRPr="00BD011C" w:rsidRDefault="000269E3" w:rsidP="00FD6C9A">
            <w:pPr>
              <w:pStyle w:val="a"/>
              <w:keepNext/>
              <w:keepLines/>
              <w:numPr>
                <w:ilvl w:val="0"/>
                <w:numId w:val="25"/>
              </w:numPr>
              <w:suppressAutoHyphens/>
              <w:spacing w:before="120" w:after="120"/>
              <w:rPr>
                <w:rFonts w:ascii="Arial" w:hAnsi="Arial" w:cs="Arial"/>
                <w:sz w:val="20"/>
              </w:rPr>
            </w:pPr>
            <w:r w:rsidRPr="00BD011C">
              <w:rPr>
                <w:rFonts w:ascii="Arial" w:hAnsi="Arial" w:cs="Arial"/>
                <w:sz w:val="20"/>
              </w:rPr>
              <w:t>La date limite de production des formulaires de roulement</w:t>
            </w:r>
            <w:r w:rsidR="0095557E">
              <w:rPr>
                <w:rFonts w:ascii="Arial" w:hAnsi="Arial" w:cs="Arial"/>
                <w:sz w:val="20"/>
              </w:rPr>
              <w:t> </w:t>
            </w:r>
            <w:r w:rsidRPr="00BD011C">
              <w:rPr>
                <w:rFonts w:ascii="Arial" w:hAnsi="Arial" w:cs="Arial"/>
                <w:sz w:val="20"/>
              </w:rPr>
              <w:t>T2057 et TP</w:t>
            </w:r>
            <w:r w:rsidRPr="00BD011C">
              <w:rPr>
                <w:rFonts w:ascii="Arial" w:hAnsi="Arial" w:cs="Arial"/>
                <w:sz w:val="20"/>
              </w:rPr>
              <w:noBreakHyphen/>
              <w:t>518 ou T2058 et TP-529</w:t>
            </w:r>
            <w:r w:rsidR="00581BA6" w:rsidRPr="00BD011C">
              <w:rPr>
                <w:rFonts w:ascii="Arial" w:hAnsi="Arial" w:cs="Arial"/>
                <w:sz w:val="20"/>
              </w:rPr>
              <w:t xml:space="preserve"> (ou T2059 et TP-614 dans le cas d’un transfert à une société de personnes canadienne) </w:t>
            </w:r>
            <w:r w:rsidRPr="00BD011C">
              <w:rPr>
                <w:rFonts w:ascii="Arial" w:hAnsi="Arial" w:cs="Arial"/>
                <w:sz w:val="20"/>
              </w:rPr>
              <w:t>est-elle connue?</w:t>
            </w:r>
          </w:p>
          <w:p w14:paraId="1D3FC345" w14:textId="3FB659C3" w:rsidR="000269E3" w:rsidRPr="00BD011C" w:rsidRDefault="000269E3" w:rsidP="00FD6C9A">
            <w:pPr>
              <w:pStyle w:val="a"/>
              <w:keepNext/>
              <w:keepLines/>
              <w:suppressAutoHyphens/>
              <w:spacing w:before="120" w:after="120"/>
              <w:ind w:left="0"/>
              <w:rPr>
                <w:rFonts w:ascii="Arial" w:hAnsi="Arial" w:cs="Arial"/>
              </w:rPr>
            </w:pPr>
            <w:r w:rsidRPr="00BD011C">
              <w:rPr>
                <w:rFonts w:ascii="Arial" w:hAnsi="Arial" w:cs="Arial"/>
                <w:sz w:val="20"/>
              </w:rPr>
              <w:t>(</w:t>
            </w:r>
            <w:r w:rsidRPr="00BD011C">
              <w:rPr>
                <w:rFonts w:ascii="Arial" w:hAnsi="Arial" w:cs="Arial"/>
                <w:i/>
                <w:sz w:val="20"/>
              </w:rPr>
              <w:t xml:space="preserve">Voir </w:t>
            </w:r>
            <w:r w:rsidR="00A71728" w:rsidRPr="00BD011C">
              <w:rPr>
                <w:rFonts w:ascii="Arial" w:hAnsi="Arial" w:cs="Arial"/>
                <w:i/>
                <w:sz w:val="20"/>
              </w:rPr>
              <w:t>paragraphe</w:t>
            </w:r>
            <w:r w:rsidRPr="00BD011C">
              <w:rPr>
                <w:rFonts w:ascii="Arial" w:hAnsi="Arial" w:cs="Arial"/>
                <w:i/>
                <w:sz w:val="20"/>
              </w:rPr>
              <w:t>s</w:t>
            </w:r>
            <w:r w:rsidR="0095557E">
              <w:rPr>
                <w:rFonts w:ascii="Arial" w:hAnsi="Arial" w:cs="Arial"/>
                <w:i/>
                <w:sz w:val="20"/>
              </w:rPr>
              <w:t> </w:t>
            </w:r>
            <w:r w:rsidRPr="00BD011C">
              <w:rPr>
                <w:rFonts w:ascii="Arial" w:hAnsi="Arial" w:cs="Arial"/>
                <w:i/>
                <w:sz w:val="20"/>
              </w:rPr>
              <w:t>85(6), (7), (7.1) et (8) de la LIR et article</w:t>
            </w:r>
            <w:r w:rsidR="00DC0BCF" w:rsidRPr="00BD011C">
              <w:rPr>
                <w:rFonts w:ascii="Arial" w:hAnsi="Arial" w:cs="Arial"/>
                <w:i/>
                <w:sz w:val="20"/>
              </w:rPr>
              <w:t>s</w:t>
            </w:r>
            <w:r w:rsidR="00850618" w:rsidRPr="00BD011C">
              <w:rPr>
                <w:rFonts w:ascii="Arial" w:hAnsi="Arial" w:cs="Arial"/>
                <w:i/>
                <w:sz w:val="20"/>
              </w:rPr>
              <w:t xml:space="preserve"> 520.1</w:t>
            </w:r>
            <w:r w:rsidR="00DC0BCF" w:rsidRPr="00BD011C">
              <w:rPr>
                <w:rFonts w:ascii="Arial" w:hAnsi="Arial" w:cs="Arial"/>
                <w:i/>
                <w:sz w:val="20"/>
              </w:rPr>
              <w:t>, 520.2</w:t>
            </w:r>
            <w:r w:rsidR="008C3C79" w:rsidRPr="00BD011C">
              <w:rPr>
                <w:rFonts w:ascii="Arial" w:hAnsi="Arial" w:cs="Arial"/>
                <w:i/>
                <w:sz w:val="20"/>
              </w:rPr>
              <w:t xml:space="preserve">, 522 </w:t>
            </w:r>
            <w:r w:rsidRPr="00BD011C">
              <w:rPr>
                <w:rFonts w:ascii="Arial" w:hAnsi="Arial" w:cs="Arial"/>
                <w:i/>
                <w:sz w:val="20"/>
              </w:rPr>
              <w:t>de la LI</w:t>
            </w:r>
            <w:r w:rsidRPr="00BD011C">
              <w:rPr>
                <w:rFonts w:ascii="Arial" w:hAnsi="Arial" w:cs="Arial"/>
                <w:sz w:val="20"/>
              </w:rPr>
              <w:t>)</w:t>
            </w:r>
          </w:p>
        </w:tc>
        <w:tc>
          <w:tcPr>
            <w:tcW w:w="628" w:type="dxa"/>
            <w:shd w:val="clear" w:color="auto" w:fill="FFFFFF"/>
          </w:tcPr>
          <w:p w14:paraId="3232ED02" w14:textId="77777777" w:rsidR="000269E3" w:rsidRPr="00BD011C" w:rsidRDefault="000269E3" w:rsidP="00FD6C9A">
            <w:pPr>
              <w:suppressAutoHyphens/>
              <w:spacing w:before="120" w:after="120"/>
              <w:jc w:val="center"/>
              <w:rPr>
                <w:rFonts w:cs="Arial"/>
              </w:rPr>
            </w:pPr>
          </w:p>
        </w:tc>
        <w:tc>
          <w:tcPr>
            <w:tcW w:w="717" w:type="dxa"/>
            <w:shd w:val="clear" w:color="auto" w:fill="FFFFFF"/>
          </w:tcPr>
          <w:p w14:paraId="66BB2F61" w14:textId="77777777" w:rsidR="000269E3" w:rsidRPr="00BD011C" w:rsidRDefault="000269E3" w:rsidP="00FD6C9A">
            <w:pPr>
              <w:suppressAutoHyphens/>
              <w:spacing w:before="120" w:after="120"/>
              <w:jc w:val="center"/>
              <w:rPr>
                <w:rFonts w:cs="Arial"/>
              </w:rPr>
            </w:pPr>
          </w:p>
        </w:tc>
        <w:tc>
          <w:tcPr>
            <w:tcW w:w="659" w:type="dxa"/>
            <w:shd w:val="clear" w:color="auto" w:fill="FFFFFF"/>
          </w:tcPr>
          <w:p w14:paraId="36158B48" w14:textId="77777777" w:rsidR="000269E3" w:rsidRPr="00BD011C" w:rsidRDefault="000269E3" w:rsidP="00FD6C9A">
            <w:pPr>
              <w:suppressAutoHyphens/>
              <w:spacing w:before="120" w:after="120"/>
              <w:jc w:val="center"/>
              <w:rPr>
                <w:rFonts w:cs="Arial"/>
              </w:rPr>
            </w:pPr>
          </w:p>
        </w:tc>
        <w:tc>
          <w:tcPr>
            <w:tcW w:w="3121" w:type="dxa"/>
            <w:shd w:val="clear" w:color="auto" w:fill="FFFFFF"/>
          </w:tcPr>
          <w:p w14:paraId="738D2A56" w14:textId="77777777" w:rsidR="000269E3" w:rsidRPr="00BD011C" w:rsidRDefault="000269E3" w:rsidP="00FD6C9A">
            <w:pPr>
              <w:spacing w:before="120" w:after="120"/>
              <w:jc w:val="center"/>
              <w:rPr>
                <w:rFonts w:cs="Arial"/>
              </w:rPr>
            </w:pPr>
          </w:p>
        </w:tc>
      </w:tr>
      <w:tr w:rsidR="000269E3" w:rsidRPr="00BD011C" w14:paraId="0E8BE6FC" w14:textId="77777777" w:rsidTr="001A637D">
        <w:trPr>
          <w:cantSplit/>
          <w:trHeight w:val="403"/>
        </w:trPr>
        <w:tc>
          <w:tcPr>
            <w:tcW w:w="4233" w:type="dxa"/>
            <w:shd w:val="clear" w:color="auto" w:fill="FFFFFF"/>
          </w:tcPr>
          <w:p w14:paraId="10B0D360" w14:textId="6B01E111" w:rsidR="000269E3" w:rsidRPr="00BD011C" w:rsidRDefault="000269E3" w:rsidP="00FD6C9A">
            <w:pPr>
              <w:pStyle w:val="123"/>
              <w:spacing w:before="120" w:after="120"/>
              <w:rPr>
                <w:rFonts w:ascii="Arial" w:hAnsi="Arial" w:cs="Arial"/>
                <w:snapToGrid/>
              </w:rPr>
            </w:pPr>
            <w:r w:rsidRPr="00BD011C">
              <w:rPr>
                <w:rFonts w:ascii="Arial" w:hAnsi="Arial" w:cs="Arial"/>
                <w:snapToGrid/>
              </w:rPr>
              <w:t>Dans le cadre d</w:t>
            </w:r>
            <w:r w:rsidR="0095557E">
              <w:rPr>
                <w:rFonts w:ascii="Arial" w:hAnsi="Arial" w:cs="Arial"/>
                <w:snapToGrid/>
              </w:rPr>
              <w:t>’</w:t>
            </w:r>
            <w:r w:rsidRPr="00BD011C">
              <w:rPr>
                <w:rFonts w:ascii="Arial" w:hAnsi="Arial" w:cs="Arial"/>
                <w:snapToGrid/>
              </w:rPr>
              <w:t xml:space="preserve">un choix tardif, le montant estimatif de </w:t>
            </w:r>
            <w:r w:rsidR="00657341" w:rsidRPr="00BD011C">
              <w:rPr>
                <w:rFonts w:ascii="Arial" w:hAnsi="Arial" w:cs="Arial"/>
                <w:snapToGrid/>
              </w:rPr>
              <w:t xml:space="preserve">la </w:t>
            </w:r>
            <w:r w:rsidRPr="00BD011C">
              <w:rPr>
                <w:rFonts w:ascii="Arial" w:hAnsi="Arial" w:cs="Arial"/>
                <w:snapToGrid/>
              </w:rPr>
              <w:t>pénalité est-il remis en même temps que le formulaire?</w:t>
            </w:r>
          </w:p>
          <w:p w14:paraId="6AA9D673" w14:textId="5AAD9E3E" w:rsidR="000269E3" w:rsidRPr="00BD011C" w:rsidRDefault="000269E3" w:rsidP="00FD6C9A">
            <w:pPr>
              <w:keepNext/>
              <w:keepLines/>
              <w:suppressAutoHyphens/>
              <w:spacing w:before="120" w:after="120"/>
              <w:rPr>
                <w:rFonts w:cs="Arial"/>
                <w:sz w:val="20"/>
              </w:rPr>
            </w:pPr>
            <w:r w:rsidRPr="00BD011C">
              <w:rPr>
                <w:rFonts w:cs="Arial"/>
                <w:sz w:val="20"/>
              </w:rPr>
              <w:t>(</w:t>
            </w:r>
            <w:r w:rsidRPr="00BD011C">
              <w:rPr>
                <w:rFonts w:cs="Arial"/>
                <w:i/>
                <w:sz w:val="20"/>
              </w:rPr>
              <w:t xml:space="preserve">Voir </w:t>
            </w:r>
            <w:r w:rsidR="00A71728" w:rsidRPr="00BD011C">
              <w:rPr>
                <w:rFonts w:cs="Arial"/>
                <w:i/>
                <w:sz w:val="20"/>
              </w:rPr>
              <w:t>paragraphe</w:t>
            </w:r>
            <w:r w:rsidR="0095557E">
              <w:rPr>
                <w:rFonts w:cs="Arial"/>
                <w:i/>
                <w:sz w:val="20"/>
              </w:rPr>
              <w:t> </w:t>
            </w:r>
            <w:r w:rsidRPr="00BD011C">
              <w:rPr>
                <w:rFonts w:cs="Arial"/>
                <w:i/>
                <w:sz w:val="20"/>
              </w:rPr>
              <w:t xml:space="preserve">85(7) </w:t>
            </w:r>
            <w:r w:rsidR="00850618" w:rsidRPr="00BD011C">
              <w:rPr>
                <w:rFonts w:cs="Arial"/>
                <w:i/>
                <w:sz w:val="20"/>
              </w:rPr>
              <w:t>de la LIR</w:t>
            </w:r>
            <w:r w:rsidRPr="00BD011C">
              <w:rPr>
                <w:rFonts w:cs="Arial"/>
                <w:sz w:val="20"/>
              </w:rPr>
              <w:t>)</w:t>
            </w:r>
          </w:p>
        </w:tc>
        <w:tc>
          <w:tcPr>
            <w:tcW w:w="628" w:type="dxa"/>
            <w:shd w:val="clear" w:color="auto" w:fill="FFFFFF"/>
          </w:tcPr>
          <w:p w14:paraId="1094EC0C" w14:textId="77777777" w:rsidR="000269E3" w:rsidRPr="00BD011C" w:rsidRDefault="000269E3" w:rsidP="00FD6C9A">
            <w:pPr>
              <w:suppressAutoHyphens/>
              <w:spacing w:before="120" w:after="120"/>
              <w:jc w:val="center"/>
              <w:rPr>
                <w:rFonts w:cs="Arial"/>
                <w:sz w:val="20"/>
              </w:rPr>
            </w:pPr>
          </w:p>
        </w:tc>
        <w:tc>
          <w:tcPr>
            <w:tcW w:w="717" w:type="dxa"/>
            <w:shd w:val="clear" w:color="auto" w:fill="FFFFFF"/>
          </w:tcPr>
          <w:p w14:paraId="3C303BE9" w14:textId="77777777" w:rsidR="000269E3" w:rsidRPr="00BD011C" w:rsidRDefault="000269E3" w:rsidP="00FD6C9A">
            <w:pPr>
              <w:suppressAutoHyphens/>
              <w:spacing w:before="120" w:after="120"/>
              <w:jc w:val="center"/>
              <w:rPr>
                <w:rFonts w:cs="Arial"/>
                <w:sz w:val="20"/>
              </w:rPr>
            </w:pPr>
          </w:p>
        </w:tc>
        <w:tc>
          <w:tcPr>
            <w:tcW w:w="659" w:type="dxa"/>
            <w:shd w:val="clear" w:color="auto" w:fill="FFFFFF"/>
          </w:tcPr>
          <w:p w14:paraId="21773249" w14:textId="77777777" w:rsidR="000269E3" w:rsidRPr="00BD011C" w:rsidRDefault="000269E3" w:rsidP="00FD6C9A">
            <w:pPr>
              <w:suppressAutoHyphens/>
              <w:spacing w:before="120" w:after="120"/>
              <w:jc w:val="center"/>
              <w:rPr>
                <w:rFonts w:cs="Arial"/>
                <w:sz w:val="20"/>
              </w:rPr>
            </w:pPr>
          </w:p>
        </w:tc>
        <w:tc>
          <w:tcPr>
            <w:tcW w:w="3121" w:type="dxa"/>
            <w:shd w:val="clear" w:color="auto" w:fill="FFFFFF"/>
          </w:tcPr>
          <w:p w14:paraId="74D0EFC9" w14:textId="77777777" w:rsidR="00850618" w:rsidRPr="00BD011C" w:rsidRDefault="00850618" w:rsidP="00FD6C9A">
            <w:pPr>
              <w:spacing w:before="120" w:after="120"/>
              <w:jc w:val="center"/>
              <w:rPr>
                <w:rFonts w:cs="Arial"/>
                <w:sz w:val="20"/>
              </w:rPr>
            </w:pPr>
          </w:p>
        </w:tc>
      </w:tr>
      <w:tr w:rsidR="000269E3" w:rsidRPr="00BD011C" w14:paraId="789010C4" w14:textId="77777777" w:rsidTr="001A637D">
        <w:trPr>
          <w:cantSplit/>
          <w:trHeight w:val="403"/>
        </w:trPr>
        <w:tc>
          <w:tcPr>
            <w:tcW w:w="4233" w:type="dxa"/>
            <w:shd w:val="clear" w:color="auto" w:fill="FFFFFF"/>
          </w:tcPr>
          <w:p w14:paraId="282919DB" w14:textId="77777777" w:rsidR="000269E3" w:rsidRPr="00BD011C" w:rsidRDefault="000269E3" w:rsidP="00FD6C9A">
            <w:pPr>
              <w:pStyle w:val="123"/>
              <w:spacing w:before="120" w:after="120"/>
              <w:rPr>
                <w:rFonts w:ascii="Arial" w:hAnsi="Arial" w:cs="Arial"/>
                <w:snapToGrid/>
              </w:rPr>
            </w:pPr>
            <w:r w:rsidRPr="00BD011C">
              <w:rPr>
                <w:rFonts w:ascii="Arial" w:hAnsi="Arial" w:cs="Arial"/>
                <w:snapToGrid/>
              </w:rPr>
              <w:t>Une copie du formulaire de roulement fédéral (T2057) a-t-elle été jointe au formulaire de roulement du Québec?</w:t>
            </w:r>
          </w:p>
          <w:p w14:paraId="4BD1A4E6" w14:textId="42E10158" w:rsidR="000269E3" w:rsidRPr="00BD011C" w:rsidRDefault="000269E3" w:rsidP="00FD6C9A">
            <w:pPr>
              <w:spacing w:before="120" w:after="120"/>
              <w:rPr>
                <w:rFonts w:cs="Arial"/>
                <w:i/>
                <w:sz w:val="20"/>
              </w:rPr>
            </w:pPr>
            <w:r w:rsidRPr="00BD011C">
              <w:rPr>
                <w:rFonts w:cs="Arial"/>
                <w:i/>
                <w:sz w:val="20"/>
              </w:rPr>
              <w:t>(Voir article</w:t>
            </w:r>
            <w:r w:rsidR="0095557E">
              <w:rPr>
                <w:rFonts w:cs="Arial"/>
                <w:i/>
                <w:sz w:val="20"/>
              </w:rPr>
              <w:t> </w:t>
            </w:r>
            <w:r w:rsidRPr="00BD011C">
              <w:rPr>
                <w:rFonts w:cs="Arial"/>
                <w:i/>
                <w:sz w:val="20"/>
              </w:rPr>
              <w:t>520.1 de la LI)</w:t>
            </w:r>
          </w:p>
        </w:tc>
        <w:tc>
          <w:tcPr>
            <w:tcW w:w="628" w:type="dxa"/>
            <w:shd w:val="clear" w:color="auto" w:fill="FFFFFF"/>
          </w:tcPr>
          <w:p w14:paraId="44AFEA30" w14:textId="77777777" w:rsidR="000269E3" w:rsidRPr="00BD011C" w:rsidRDefault="000269E3" w:rsidP="00FD6C9A">
            <w:pPr>
              <w:spacing w:before="120" w:after="120"/>
              <w:jc w:val="center"/>
              <w:rPr>
                <w:rFonts w:cs="Arial"/>
                <w:sz w:val="20"/>
              </w:rPr>
            </w:pPr>
          </w:p>
        </w:tc>
        <w:tc>
          <w:tcPr>
            <w:tcW w:w="717" w:type="dxa"/>
            <w:shd w:val="clear" w:color="auto" w:fill="FFFFFF"/>
          </w:tcPr>
          <w:p w14:paraId="2BB81D17" w14:textId="77777777" w:rsidR="000269E3" w:rsidRPr="00BD011C" w:rsidRDefault="000269E3" w:rsidP="00FD6C9A">
            <w:pPr>
              <w:spacing w:before="120" w:after="120"/>
              <w:jc w:val="center"/>
              <w:rPr>
                <w:rFonts w:cs="Arial"/>
                <w:sz w:val="20"/>
              </w:rPr>
            </w:pPr>
          </w:p>
        </w:tc>
        <w:tc>
          <w:tcPr>
            <w:tcW w:w="659" w:type="dxa"/>
            <w:shd w:val="clear" w:color="auto" w:fill="FFFFFF"/>
          </w:tcPr>
          <w:p w14:paraId="5140B32D" w14:textId="77777777" w:rsidR="000269E3" w:rsidRPr="00BD011C" w:rsidRDefault="000269E3" w:rsidP="00FD6C9A">
            <w:pPr>
              <w:spacing w:before="120" w:after="120"/>
              <w:jc w:val="center"/>
              <w:rPr>
                <w:rFonts w:cs="Arial"/>
                <w:sz w:val="20"/>
              </w:rPr>
            </w:pPr>
          </w:p>
        </w:tc>
        <w:tc>
          <w:tcPr>
            <w:tcW w:w="3121" w:type="dxa"/>
            <w:shd w:val="clear" w:color="auto" w:fill="FFFFFF"/>
          </w:tcPr>
          <w:p w14:paraId="3A26AB8D" w14:textId="77777777" w:rsidR="000269E3" w:rsidRPr="00BD011C" w:rsidRDefault="000269E3" w:rsidP="00FD6C9A">
            <w:pPr>
              <w:spacing w:before="120" w:after="120"/>
              <w:jc w:val="center"/>
              <w:rPr>
                <w:rFonts w:cs="Arial"/>
                <w:sz w:val="20"/>
              </w:rPr>
            </w:pPr>
          </w:p>
        </w:tc>
      </w:tr>
      <w:tr w:rsidR="000269E3" w:rsidRPr="00BD011C" w14:paraId="40972F65" w14:textId="77777777" w:rsidTr="001A637D">
        <w:trPr>
          <w:cantSplit/>
          <w:trHeight w:val="403"/>
        </w:trPr>
        <w:tc>
          <w:tcPr>
            <w:tcW w:w="4233" w:type="dxa"/>
            <w:shd w:val="clear" w:color="auto" w:fill="FFFFFF"/>
          </w:tcPr>
          <w:p w14:paraId="49E03985" w14:textId="77777777" w:rsidR="000269E3" w:rsidRPr="00BD011C" w:rsidRDefault="000269E3" w:rsidP="00FD6C9A">
            <w:pPr>
              <w:pStyle w:val="123"/>
              <w:spacing w:before="120" w:after="120"/>
              <w:rPr>
                <w:rFonts w:ascii="Arial" w:hAnsi="Arial" w:cs="Arial"/>
                <w:snapToGrid/>
              </w:rPr>
            </w:pPr>
            <w:r w:rsidRPr="00BD011C">
              <w:rPr>
                <w:rFonts w:ascii="Arial" w:hAnsi="Arial" w:cs="Arial"/>
                <w:snapToGrid/>
              </w:rPr>
              <w:t xml:space="preserve">Le transfert entre un </w:t>
            </w:r>
            <w:r w:rsidR="00C87E9D" w:rsidRPr="00BD011C">
              <w:rPr>
                <w:rFonts w:ascii="Arial" w:hAnsi="Arial" w:cs="Arial"/>
                <w:snapToGrid/>
              </w:rPr>
              <w:t>particulier</w:t>
            </w:r>
            <w:r w:rsidRPr="00BD011C">
              <w:rPr>
                <w:rFonts w:ascii="Arial" w:hAnsi="Arial" w:cs="Arial"/>
                <w:snapToGrid/>
              </w:rPr>
              <w:t xml:space="preserve"> et une société peut entraîner une double imposition. Cela a</w:t>
            </w:r>
            <w:r w:rsidRPr="00BD011C">
              <w:rPr>
                <w:rFonts w:ascii="Arial" w:hAnsi="Arial" w:cs="Arial"/>
                <w:snapToGrid/>
              </w:rPr>
              <w:noBreakHyphen/>
              <w:t>t</w:t>
            </w:r>
            <w:r w:rsidRPr="00BD011C">
              <w:rPr>
                <w:rFonts w:ascii="Arial" w:hAnsi="Arial" w:cs="Arial"/>
                <w:snapToGrid/>
              </w:rPr>
              <w:noBreakHyphen/>
              <w:t>il été considéré?</w:t>
            </w:r>
          </w:p>
        </w:tc>
        <w:tc>
          <w:tcPr>
            <w:tcW w:w="628" w:type="dxa"/>
            <w:shd w:val="clear" w:color="auto" w:fill="FFFFFF"/>
          </w:tcPr>
          <w:p w14:paraId="3A0B8925" w14:textId="77777777" w:rsidR="000269E3" w:rsidRPr="00BD011C" w:rsidRDefault="000269E3" w:rsidP="00FD6C9A">
            <w:pPr>
              <w:spacing w:before="120" w:after="120"/>
              <w:jc w:val="center"/>
              <w:rPr>
                <w:rFonts w:cs="Arial"/>
                <w:sz w:val="20"/>
              </w:rPr>
            </w:pPr>
          </w:p>
        </w:tc>
        <w:tc>
          <w:tcPr>
            <w:tcW w:w="717" w:type="dxa"/>
            <w:shd w:val="clear" w:color="auto" w:fill="FFFFFF"/>
          </w:tcPr>
          <w:p w14:paraId="67992482" w14:textId="77777777" w:rsidR="000269E3" w:rsidRPr="00BD011C" w:rsidRDefault="000269E3" w:rsidP="00FD6C9A">
            <w:pPr>
              <w:spacing w:before="120" w:after="120"/>
              <w:jc w:val="center"/>
              <w:rPr>
                <w:rFonts w:cs="Arial"/>
                <w:sz w:val="20"/>
              </w:rPr>
            </w:pPr>
          </w:p>
        </w:tc>
        <w:tc>
          <w:tcPr>
            <w:tcW w:w="659" w:type="dxa"/>
            <w:shd w:val="clear" w:color="auto" w:fill="FFFFFF"/>
          </w:tcPr>
          <w:p w14:paraId="791A87C8" w14:textId="77777777" w:rsidR="000269E3" w:rsidRPr="00BD011C" w:rsidRDefault="000269E3" w:rsidP="00FD6C9A">
            <w:pPr>
              <w:spacing w:before="120" w:after="120"/>
              <w:jc w:val="center"/>
              <w:rPr>
                <w:rFonts w:cs="Arial"/>
                <w:sz w:val="20"/>
              </w:rPr>
            </w:pPr>
          </w:p>
        </w:tc>
        <w:tc>
          <w:tcPr>
            <w:tcW w:w="3121" w:type="dxa"/>
            <w:shd w:val="clear" w:color="auto" w:fill="FFFFFF"/>
          </w:tcPr>
          <w:p w14:paraId="09D80DD4" w14:textId="77777777" w:rsidR="000269E3" w:rsidRPr="00BD011C" w:rsidRDefault="000269E3" w:rsidP="00FD6C9A">
            <w:pPr>
              <w:spacing w:before="120" w:after="120"/>
              <w:jc w:val="center"/>
              <w:rPr>
                <w:rFonts w:cs="Arial"/>
                <w:sz w:val="20"/>
              </w:rPr>
            </w:pPr>
          </w:p>
        </w:tc>
      </w:tr>
      <w:tr w:rsidR="007669C7" w:rsidRPr="00BD011C" w14:paraId="27B59F8D" w14:textId="77777777" w:rsidTr="001A637D">
        <w:trPr>
          <w:cantSplit/>
          <w:trHeight w:val="403"/>
        </w:trPr>
        <w:tc>
          <w:tcPr>
            <w:tcW w:w="4233" w:type="dxa"/>
            <w:shd w:val="clear" w:color="auto" w:fill="FFFFFF"/>
          </w:tcPr>
          <w:p w14:paraId="03020412" w14:textId="77777777" w:rsidR="007669C7" w:rsidRPr="00BD011C" w:rsidRDefault="007669C7" w:rsidP="00FD6C9A">
            <w:pPr>
              <w:pStyle w:val="123"/>
              <w:spacing w:before="120" w:after="120"/>
              <w:rPr>
                <w:rFonts w:ascii="Arial" w:hAnsi="Arial" w:cs="Arial"/>
                <w:snapToGrid/>
              </w:rPr>
            </w:pPr>
            <w:r w:rsidRPr="00BD011C">
              <w:rPr>
                <w:rFonts w:ascii="Arial" w:hAnsi="Arial" w:cs="Arial"/>
                <w:snapToGrid/>
              </w:rPr>
              <w:lastRenderedPageBreak/>
              <w:t>Les implications relatives à la possibilité pour l’entreprise de devenir affiliée, liée ou associées à la suite du transfert ont-elles été prises en compte?</w:t>
            </w:r>
          </w:p>
        </w:tc>
        <w:tc>
          <w:tcPr>
            <w:tcW w:w="628" w:type="dxa"/>
            <w:shd w:val="clear" w:color="auto" w:fill="FFFFFF"/>
          </w:tcPr>
          <w:p w14:paraId="7F62D9DD" w14:textId="77777777" w:rsidR="007669C7" w:rsidRPr="00BD011C" w:rsidRDefault="007669C7" w:rsidP="00FD6C9A">
            <w:pPr>
              <w:spacing w:before="120" w:after="120"/>
              <w:jc w:val="center"/>
              <w:rPr>
                <w:rFonts w:cs="Arial"/>
                <w:sz w:val="20"/>
              </w:rPr>
            </w:pPr>
          </w:p>
        </w:tc>
        <w:tc>
          <w:tcPr>
            <w:tcW w:w="717" w:type="dxa"/>
            <w:shd w:val="clear" w:color="auto" w:fill="FFFFFF"/>
          </w:tcPr>
          <w:p w14:paraId="0E4CDD64" w14:textId="77777777" w:rsidR="007669C7" w:rsidRPr="00BD011C" w:rsidRDefault="007669C7" w:rsidP="00FD6C9A">
            <w:pPr>
              <w:spacing w:before="120" w:after="120"/>
              <w:jc w:val="center"/>
              <w:rPr>
                <w:rFonts w:cs="Arial"/>
                <w:sz w:val="20"/>
              </w:rPr>
            </w:pPr>
          </w:p>
        </w:tc>
        <w:tc>
          <w:tcPr>
            <w:tcW w:w="659" w:type="dxa"/>
            <w:shd w:val="clear" w:color="auto" w:fill="FFFFFF"/>
          </w:tcPr>
          <w:p w14:paraId="35D5F150" w14:textId="77777777" w:rsidR="007669C7" w:rsidRPr="00BD011C" w:rsidRDefault="007669C7" w:rsidP="00FD6C9A">
            <w:pPr>
              <w:spacing w:before="120" w:after="120"/>
              <w:jc w:val="center"/>
              <w:rPr>
                <w:rFonts w:cs="Arial"/>
                <w:sz w:val="20"/>
              </w:rPr>
            </w:pPr>
          </w:p>
        </w:tc>
        <w:tc>
          <w:tcPr>
            <w:tcW w:w="3121" w:type="dxa"/>
            <w:shd w:val="clear" w:color="auto" w:fill="FFFFFF"/>
          </w:tcPr>
          <w:p w14:paraId="6B975570" w14:textId="77777777" w:rsidR="007669C7" w:rsidRPr="00BD011C" w:rsidRDefault="007669C7" w:rsidP="00FD6C9A">
            <w:pPr>
              <w:spacing w:before="120" w:after="120"/>
              <w:jc w:val="center"/>
              <w:rPr>
                <w:rFonts w:cs="Arial"/>
                <w:sz w:val="20"/>
              </w:rPr>
            </w:pPr>
          </w:p>
        </w:tc>
      </w:tr>
      <w:tr w:rsidR="000269E3" w:rsidRPr="00BD011C" w14:paraId="25E601E1" w14:textId="77777777" w:rsidTr="001A637D">
        <w:trPr>
          <w:cantSplit/>
          <w:trHeight w:val="403"/>
        </w:trPr>
        <w:tc>
          <w:tcPr>
            <w:tcW w:w="4233" w:type="dxa"/>
            <w:shd w:val="clear" w:color="auto" w:fill="FFFFFF"/>
          </w:tcPr>
          <w:p w14:paraId="7DB6B36B" w14:textId="0CD1C5C5" w:rsidR="000269E3" w:rsidRPr="00BD011C" w:rsidRDefault="000269E3" w:rsidP="00FD6C9A">
            <w:pPr>
              <w:pStyle w:val="123"/>
              <w:spacing w:before="120" w:after="120"/>
              <w:rPr>
                <w:rFonts w:ascii="Arial" w:hAnsi="Arial" w:cs="Arial"/>
                <w:snapToGrid/>
              </w:rPr>
            </w:pPr>
            <w:r w:rsidRPr="00BD011C">
              <w:rPr>
                <w:rFonts w:ascii="Arial" w:hAnsi="Arial" w:cs="Arial"/>
                <w:snapToGrid/>
              </w:rPr>
              <w:t>Lors du transfert de la totalité ou presque des biens d</w:t>
            </w:r>
            <w:r w:rsidR="0095557E">
              <w:rPr>
                <w:rFonts w:ascii="Arial" w:hAnsi="Arial" w:cs="Arial"/>
                <w:snapToGrid/>
              </w:rPr>
              <w:t>’</w:t>
            </w:r>
            <w:r w:rsidRPr="00BD011C">
              <w:rPr>
                <w:rFonts w:ascii="Arial" w:hAnsi="Arial" w:cs="Arial"/>
                <w:snapToGrid/>
              </w:rPr>
              <w:t>une société, en faveur d</w:t>
            </w:r>
            <w:r w:rsidR="0095557E">
              <w:rPr>
                <w:rFonts w:ascii="Arial" w:hAnsi="Arial" w:cs="Arial"/>
                <w:snapToGrid/>
              </w:rPr>
              <w:t>’</w:t>
            </w:r>
            <w:r w:rsidRPr="00BD011C">
              <w:rPr>
                <w:rFonts w:ascii="Arial" w:hAnsi="Arial" w:cs="Arial"/>
                <w:snapToGrid/>
              </w:rPr>
              <w:t>une société ayant un lien de dépendance, les acomptes provisionnels des sociétés ont-ils été ajustés en conséquence?</w:t>
            </w:r>
          </w:p>
          <w:p w14:paraId="650E0FD9" w14:textId="3AFB726C" w:rsidR="000269E3" w:rsidRPr="00BD011C" w:rsidRDefault="000269E3" w:rsidP="00FD6C9A">
            <w:pPr>
              <w:spacing w:before="120" w:after="120"/>
              <w:rPr>
                <w:rFonts w:cs="Arial"/>
                <w:sz w:val="20"/>
              </w:rPr>
            </w:pPr>
            <w:r w:rsidRPr="00BD011C">
              <w:rPr>
                <w:rFonts w:cs="Arial"/>
                <w:sz w:val="20"/>
              </w:rPr>
              <w:t>(</w:t>
            </w:r>
            <w:r w:rsidRPr="00BD011C">
              <w:rPr>
                <w:rFonts w:cs="Arial"/>
                <w:i/>
                <w:sz w:val="20"/>
              </w:rPr>
              <w:t>Voir article</w:t>
            </w:r>
            <w:r w:rsidR="0095557E">
              <w:rPr>
                <w:rFonts w:cs="Arial"/>
                <w:i/>
                <w:sz w:val="20"/>
              </w:rPr>
              <w:t> </w:t>
            </w:r>
            <w:r w:rsidRPr="00BD011C">
              <w:rPr>
                <w:rFonts w:cs="Arial"/>
                <w:i/>
                <w:sz w:val="20"/>
              </w:rPr>
              <w:t xml:space="preserve">5301(8) du Règlement de </w:t>
            </w:r>
            <w:smartTag w:uri="urn:schemas-microsoft-com:office:smarttags" w:element="PersonName">
              <w:smartTagPr>
                <w:attr w:name="ProductID" w:val="la LIR"/>
              </w:smartTagPr>
              <w:r w:rsidRPr="00BD011C">
                <w:rPr>
                  <w:rFonts w:cs="Arial"/>
                  <w:i/>
                  <w:sz w:val="20"/>
                </w:rPr>
                <w:t>la LIR</w:t>
              </w:r>
            </w:smartTag>
            <w:r w:rsidRPr="00BD011C">
              <w:rPr>
                <w:rFonts w:cs="Arial"/>
                <w:i/>
                <w:sz w:val="20"/>
              </w:rPr>
              <w:t xml:space="preserve"> et article</w:t>
            </w:r>
            <w:r w:rsidR="0095557E">
              <w:rPr>
                <w:rFonts w:cs="Arial"/>
                <w:i/>
                <w:sz w:val="20"/>
              </w:rPr>
              <w:t> </w:t>
            </w:r>
            <w:r w:rsidRPr="00BD011C">
              <w:rPr>
                <w:rFonts w:cs="Arial"/>
                <w:i/>
                <w:sz w:val="20"/>
              </w:rPr>
              <w:t>1027R9 du Règlement de la LI)</w:t>
            </w:r>
          </w:p>
        </w:tc>
        <w:tc>
          <w:tcPr>
            <w:tcW w:w="628" w:type="dxa"/>
            <w:shd w:val="clear" w:color="auto" w:fill="FFFFFF"/>
          </w:tcPr>
          <w:p w14:paraId="6782DAF6" w14:textId="77777777" w:rsidR="000269E3" w:rsidRPr="00BD011C" w:rsidRDefault="000269E3" w:rsidP="00FD6C9A">
            <w:pPr>
              <w:spacing w:before="120" w:after="120"/>
              <w:jc w:val="center"/>
              <w:rPr>
                <w:rFonts w:cs="Arial"/>
                <w:sz w:val="20"/>
              </w:rPr>
            </w:pPr>
          </w:p>
        </w:tc>
        <w:tc>
          <w:tcPr>
            <w:tcW w:w="717" w:type="dxa"/>
            <w:shd w:val="clear" w:color="auto" w:fill="FFFFFF"/>
          </w:tcPr>
          <w:p w14:paraId="2216F51F" w14:textId="77777777" w:rsidR="000269E3" w:rsidRPr="00BD011C" w:rsidRDefault="000269E3" w:rsidP="00FD6C9A">
            <w:pPr>
              <w:spacing w:before="120" w:after="120"/>
              <w:jc w:val="center"/>
              <w:rPr>
                <w:rFonts w:cs="Arial"/>
                <w:sz w:val="20"/>
              </w:rPr>
            </w:pPr>
          </w:p>
        </w:tc>
        <w:tc>
          <w:tcPr>
            <w:tcW w:w="659" w:type="dxa"/>
            <w:shd w:val="clear" w:color="auto" w:fill="FFFFFF"/>
          </w:tcPr>
          <w:p w14:paraId="65C6735C" w14:textId="77777777" w:rsidR="000269E3" w:rsidRPr="00BD011C" w:rsidRDefault="000269E3" w:rsidP="00FD6C9A">
            <w:pPr>
              <w:spacing w:before="120" w:after="120"/>
              <w:jc w:val="center"/>
              <w:rPr>
                <w:rFonts w:cs="Arial"/>
                <w:sz w:val="20"/>
              </w:rPr>
            </w:pPr>
          </w:p>
        </w:tc>
        <w:tc>
          <w:tcPr>
            <w:tcW w:w="3121" w:type="dxa"/>
            <w:shd w:val="clear" w:color="auto" w:fill="FFFFFF"/>
          </w:tcPr>
          <w:p w14:paraId="09448D1B" w14:textId="77777777" w:rsidR="000269E3" w:rsidRPr="00BD011C" w:rsidRDefault="000269E3" w:rsidP="00FD6C9A">
            <w:pPr>
              <w:spacing w:before="120" w:after="120"/>
              <w:jc w:val="center"/>
              <w:rPr>
                <w:rFonts w:cs="Arial"/>
                <w:sz w:val="20"/>
              </w:rPr>
            </w:pPr>
          </w:p>
        </w:tc>
      </w:tr>
      <w:tr w:rsidR="000269E3" w:rsidRPr="00BD011C" w14:paraId="390BD250" w14:textId="77777777" w:rsidTr="001A637D">
        <w:trPr>
          <w:cantSplit/>
          <w:trHeight w:val="403"/>
        </w:trPr>
        <w:tc>
          <w:tcPr>
            <w:tcW w:w="4233" w:type="dxa"/>
            <w:shd w:val="clear" w:color="auto" w:fill="FFFFFF"/>
          </w:tcPr>
          <w:p w14:paraId="03E2C9A4" w14:textId="50794737" w:rsidR="000269E3" w:rsidRPr="00BD011C" w:rsidRDefault="000269E3" w:rsidP="00FD6C9A">
            <w:pPr>
              <w:pStyle w:val="123"/>
              <w:spacing w:before="120" w:after="120"/>
              <w:rPr>
                <w:rFonts w:ascii="Arial" w:hAnsi="Arial" w:cs="Arial"/>
                <w:snapToGrid/>
              </w:rPr>
            </w:pPr>
            <w:r w:rsidRPr="00BD011C">
              <w:rPr>
                <w:rFonts w:ascii="Arial" w:hAnsi="Arial" w:cs="Arial"/>
                <w:snapToGrid/>
              </w:rPr>
              <w:t xml:space="preserve">Les pertes qui pourraient découler du transfert sont-elles </w:t>
            </w:r>
            <w:r w:rsidR="00F26DAF" w:rsidRPr="00BD011C">
              <w:rPr>
                <w:rFonts w:ascii="Arial" w:hAnsi="Arial" w:cs="Arial"/>
                <w:snapToGrid/>
              </w:rPr>
              <w:t>réputées nulles</w:t>
            </w:r>
            <w:r w:rsidRPr="00BD011C">
              <w:rPr>
                <w:rFonts w:ascii="Arial" w:hAnsi="Arial" w:cs="Arial"/>
                <w:snapToGrid/>
              </w:rPr>
              <w:t>?</w:t>
            </w:r>
          </w:p>
          <w:p w14:paraId="2E5E5532" w14:textId="6DBCBE15" w:rsidR="000269E3" w:rsidRPr="00BD011C" w:rsidRDefault="00097158" w:rsidP="00FD6C9A">
            <w:pPr>
              <w:spacing w:before="120" w:after="120"/>
              <w:rPr>
                <w:rFonts w:cs="Arial"/>
                <w:sz w:val="20"/>
              </w:rPr>
            </w:pPr>
            <w:r w:rsidRPr="00BD011C">
              <w:rPr>
                <w:rFonts w:cs="Arial"/>
                <w:i/>
                <w:sz w:val="20"/>
              </w:rPr>
              <w:t>(</w:t>
            </w:r>
            <w:r w:rsidR="000269E3" w:rsidRPr="00BD011C">
              <w:rPr>
                <w:rFonts w:cs="Arial"/>
                <w:i/>
                <w:sz w:val="20"/>
              </w:rPr>
              <w:t>Voir paragraphe</w:t>
            </w:r>
            <w:r w:rsidR="00E42E5E" w:rsidRPr="00BD011C">
              <w:rPr>
                <w:rFonts w:cs="Arial"/>
                <w:i/>
                <w:sz w:val="20"/>
              </w:rPr>
              <w:t>s</w:t>
            </w:r>
            <w:r w:rsidR="0095557E">
              <w:rPr>
                <w:rFonts w:cs="Arial"/>
                <w:i/>
                <w:sz w:val="20"/>
              </w:rPr>
              <w:t> </w:t>
            </w:r>
            <w:r w:rsidR="000A1E28">
              <w:rPr>
                <w:rFonts w:cs="Arial"/>
                <w:i/>
                <w:sz w:val="20"/>
              </w:rPr>
              <w:t>13(21.2),</w:t>
            </w:r>
            <w:r w:rsidR="008C3C79" w:rsidRPr="00BD011C">
              <w:rPr>
                <w:rFonts w:cs="Arial"/>
                <w:i/>
                <w:sz w:val="20"/>
              </w:rPr>
              <w:t xml:space="preserve">14(12), </w:t>
            </w:r>
            <w:r w:rsidR="000269E3" w:rsidRPr="00BD011C">
              <w:rPr>
                <w:rFonts w:cs="Arial"/>
                <w:i/>
                <w:sz w:val="20"/>
              </w:rPr>
              <w:t>40(3.4)</w:t>
            </w:r>
            <w:r w:rsidR="00E42E5E" w:rsidRPr="00BD011C">
              <w:rPr>
                <w:rFonts w:cs="Arial"/>
                <w:i/>
                <w:sz w:val="20"/>
              </w:rPr>
              <w:t xml:space="preserve"> et 40(3.6) </w:t>
            </w:r>
            <w:r w:rsidR="000269E3" w:rsidRPr="00BD011C">
              <w:rPr>
                <w:rFonts w:cs="Arial"/>
                <w:i/>
                <w:sz w:val="20"/>
              </w:rPr>
              <w:t xml:space="preserve">de </w:t>
            </w:r>
            <w:smartTag w:uri="urn:schemas-microsoft-com:office:smarttags" w:element="PersonName">
              <w:smartTagPr>
                <w:attr w:name="ProductID" w:val="la LIR"/>
              </w:smartTagPr>
              <w:r w:rsidR="000269E3" w:rsidRPr="00BD011C">
                <w:rPr>
                  <w:rFonts w:cs="Arial"/>
                  <w:i/>
                  <w:sz w:val="20"/>
                </w:rPr>
                <w:t>la LIR</w:t>
              </w:r>
            </w:smartTag>
            <w:r w:rsidR="000269E3" w:rsidRPr="00BD011C">
              <w:rPr>
                <w:rFonts w:cs="Arial"/>
                <w:i/>
                <w:sz w:val="20"/>
              </w:rPr>
              <w:t xml:space="preserve"> et article</w:t>
            </w:r>
            <w:r w:rsidR="00E42E5E" w:rsidRPr="00BD011C">
              <w:rPr>
                <w:rFonts w:cs="Arial"/>
                <w:i/>
                <w:sz w:val="20"/>
              </w:rPr>
              <w:t>s</w:t>
            </w:r>
            <w:r w:rsidR="0095557E">
              <w:rPr>
                <w:rFonts w:cs="Arial"/>
                <w:i/>
                <w:sz w:val="20"/>
              </w:rPr>
              <w:t> </w:t>
            </w:r>
            <w:r w:rsidR="000A1E28">
              <w:rPr>
                <w:rFonts w:cs="Arial"/>
                <w:i/>
                <w:sz w:val="20"/>
              </w:rPr>
              <w:t xml:space="preserve">93.3.1 </w:t>
            </w:r>
            <w:r w:rsidR="008C3C79" w:rsidRPr="00BD011C">
              <w:rPr>
                <w:rFonts w:cs="Arial"/>
                <w:i/>
                <w:sz w:val="20"/>
              </w:rPr>
              <w:t xml:space="preserve">106.4, </w:t>
            </w:r>
            <w:r w:rsidR="00C87E9D" w:rsidRPr="00BD011C">
              <w:rPr>
                <w:rFonts w:cs="Arial"/>
                <w:i/>
                <w:sz w:val="20"/>
              </w:rPr>
              <w:t>238.1</w:t>
            </w:r>
            <w:r w:rsidR="00657341" w:rsidRPr="00BD011C">
              <w:rPr>
                <w:rFonts w:cs="Arial"/>
                <w:i/>
                <w:sz w:val="20"/>
              </w:rPr>
              <w:t xml:space="preserve"> et</w:t>
            </w:r>
            <w:r w:rsidR="00E42E5E" w:rsidRPr="00BD011C">
              <w:rPr>
                <w:rFonts w:cs="Arial"/>
                <w:i/>
                <w:sz w:val="20"/>
              </w:rPr>
              <w:t xml:space="preserve"> 238.3 </w:t>
            </w:r>
            <w:r w:rsidR="000269E3" w:rsidRPr="00BD011C">
              <w:rPr>
                <w:rFonts w:cs="Arial"/>
                <w:i/>
                <w:sz w:val="20"/>
              </w:rPr>
              <w:t>de la LI)</w:t>
            </w:r>
          </w:p>
        </w:tc>
        <w:tc>
          <w:tcPr>
            <w:tcW w:w="628" w:type="dxa"/>
            <w:shd w:val="clear" w:color="auto" w:fill="FFFFFF"/>
          </w:tcPr>
          <w:p w14:paraId="73F736FA" w14:textId="77777777" w:rsidR="000269E3" w:rsidRPr="00BD011C" w:rsidRDefault="000269E3" w:rsidP="00FD6C9A">
            <w:pPr>
              <w:spacing w:before="120" w:after="120"/>
              <w:jc w:val="center"/>
              <w:rPr>
                <w:rFonts w:cs="Arial"/>
                <w:sz w:val="20"/>
              </w:rPr>
            </w:pPr>
          </w:p>
        </w:tc>
        <w:tc>
          <w:tcPr>
            <w:tcW w:w="717" w:type="dxa"/>
            <w:shd w:val="clear" w:color="auto" w:fill="FFFFFF"/>
          </w:tcPr>
          <w:p w14:paraId="6E051086" w14:textId="77777777" w:rsidR="000269E3" w:rsidRPr="00BD011C" w:rsidRDefault="000269E3" w:rsidP="00FD6C9A">
            <w:pPr>
              <w:spacing w:before="120" w:after="120"/>
              <w:jc w:val="center"/>
              <w:rPr>
                <w:rFonts w:cs="Arial"/>
                <w:sz w:val="20"/>
              </w:rPr>
            </w:pPr>
          </w:p>
        </w:tc>
        <w:tc>
          <w:tcPr>
            <w:tcW w:w="659" w:type="dxa"/>
            <w:shd w:val="clear" w:color="auto" w:fill="FFFFFF"/>
          </w:tcPr>
          <w:p w14:paraId="5357E0AF" w14:textId="77777777" w:rsidR="000269E3" w:rsidRPr="00BD011C" w:rsidRDefault="000269E3" w:rsidP="00FD6C9A">
            <w:pPr>
              <w:spacing w:before="120" w:after="120"/>
              <w:jc w:val="center"/>
              <w:rPr>
                <w:rFonts w:cs="Arial"/>
                <w:sz w:val="20"/>
              </w:rPr>
            </w:pPr>
          </w:p>
        </w:tc>
        <w:tc>
          <w:tcPr>
            <w:tcW w:w="3121" w:type="dxa"/>
            <w:shd w:val="clear" w:color="auto" w:fill="FFFFFF"/>
          </w:tcPr>
          <w:p w14:paraId="6D538B17" w14:textId="77777777" w:rsidR="000269E3" w:rsidRPr="00BD011C" w:rsidRDefault="000269E3" w:rsidP="00FD6C9A">
            <w:pPr>
              <w:spacing w:before="120" w:after="120"/>
              <w:jc w:val="center"/>
              <w:rPr>
                <w:rFonts w:cs="Arial"/>
                <w:sz w:val="20"/>
              </w:rPr>
            </w:pPr>
          </w:p>
        </w:tc>
      </w:tr>
      <w:tr w:rsidR="000269E3" w:rsidRPr="00BD011C" w14:paraId="798C549D" w14:textId="77777777" w:rsidTr="001A637D">
        <w:trPr>
          <w:cantSplit/>
          <w:trHeight w:val="403"/>
        </w:trPr>
        <w:tc>
          <w:tcPr>
            <w:tcW w:w="4233" w:type="dxa"/>
            <w:shd w:val="clear" w:color="auto" w:fill="FFFFFF"/>
          </w:tcPr>
          <w:p w14:paraId="159022B4" w14:textId="7E456A97" w:rsidR="000269E3" w:rsidRPr="00BD011C" w:rsidRDefault="000269E3" w:rsidP="00FD6C9A">
            <w:pPr>
              <w:pStyle w:val="123"/>
              <w:spacing w:before="120" w:after="120"/>
              <w:rPr>
                <w:rFonts w:ascii="Arial" w:hAnsi="Arial" w:cs="Arial"/>
                <w:snapToGrid/>
              </w:rPr>
            </w:pPr>
            <w:r w:rsidRPr="00BD011C">
              <w:rPr>
                <w:rFonts w:ascii="Arial" w:hAnsi="Arial" w:cs="Arial"/>
                <w:snapToGrid/>
              </w:rPr>
              <w:t>Les implications relatives à l</w:t>
            </w:r>
            <w:r w:rsidR="0095557E">
              <w:rPr>
                <w:rFonts w:ascii="Arial" w:hAnsi="Arial" w:cs="Arial"/>
                <w:snapToGrid/>
              </w:rPr>
              <w:t>’</w:t>
            </w:r>
            <w:r w:rsidRPr="00BD011C">
              <w:rPr>
                <w:rFonts w:ascii="Arial" w:hAnsi="Arial" w:cs="Arial"/>
                <w:snapToGrid/>
              </w:rPr>
              <w:t xml:space="preserve">application de la taxe sur les produits et services et </w:t>
            </w:r>
            <w:r w:rsidR="00657341" w:rsidRPr="00BD011C">
              <w:rPr>
                <w:rFonts w:ascii="Arial" w:hAnsi="Arial" w:cs="Arial"/>
                <w:snapToGrid/>
              </w:rPr>
              <w:t xml:space="preserve">de </w:t>
            </w:r>
            <w:r w:rsidRPr="00BD011C">
              <w:rPr>
                <w:rFonts w:ascii="Arial" w:hAnsi="Arial" w:cs="Arial"/>
                <w:snapToGrid/>
              </w:rPr>
              <w:t>la taxe de vente du Québec sont-elles prises en compte?</w:t>
            </w:r>
          </w:p>
        </w:tc>
        <w:tc>
          <w:tcPr>
            <w:tcW w:w="628" w:type="dxa"/>
            <w:shd w:val="clear" w:color="auto" w:fill="FFFFFF"/>
          </w:tcPr>
          <w:p w14:paraId="55900C7C" w14:textId="77777777" w:rsidR="000269E3" w:rsidRPr="00BD011C" w:rsidRDefault="000269E3" w:rsidP="00FD6C9A">
            <w:pPr>
              <w:spacing w:before="120" w:after="120"/>
              <w:jc w:val="center"/>
              <w:rPr>
                <w:rFonts w:cs="Arial"/>
                <w:sz w:val="20"/>
              </w:rPr>
            </w:pPr>
          </w:p>
        </w:tc>
        <w:tc>
          <w:tcPr>
            <w:tcW w:w="717" w:type="dxa"/>
            <w:shd w:val="clear" w:color="auto" w:fill="FFFFFF"/>
          </w:tcPr>
          <w:p w14:paraId="123BDAA0" w14:textId="77777777" w:rsidR="000269E3" w:rsidRPr="00BD011C" w:rsidRDefault="000269E3" w:rsidP="00FD6C9A">
            <w:pPr>
              <w:spacing w:before="120" w:after="120"/>
              <w:jc w:val="center"/>
              <w:rPr>
                <w:rFonts w:cs="Arial"/>
                <w:sz w:val="20"/>
              </w:rPr>
            </w:pPr>
          </w:p>
        </w:tc>
        <w:tc>
          <w:tcPr>
            <w:tcW w:w="659" w:type="dxa"/>
            <w:shd w:val="clear" w:color="auto" w:fill="FFFFFF"/>
          </w:tcPr>
          <w:p w14:paraId="1D3EDCFB" w14:textId="77777777" w:rsidR="000269E3" w:rsidRPr="00BD011C" w:rsidRDefault="000269E3" w:rsidP="00FD6C9A">
            <w:pPr>
              <w:spacing w:before="120" w:after="120"/>
              <w:jc w:val="center"/>
              <w:rPr>
                <w:rFonts w:cs="Arial"/>
                <w:sz w:val="20"/>
              </w:rPr>
            </w:pPr>
          </w:p>
        </w:tc>
        <w:tc>
          <w:tcPr>
            <w:tcW w:w="3121" w:type="dxa"/>
            <w:shd w:val="clear" w:color="auto" w:fill="FFFFFF"/>
          </w:tcPr>
          <w:p w14:paraId="0FB04D26" w14:textId="77777777" w:rsidR="000269E3" w:rsidRPr="00BD011C" w:rsidRDefault="000269E3" w:rsidP="00FD6C9A">
            <w:pPr>
              <w:spacing w:before="120" w:after="120"/>
              <w:jc w:val="center"/>
              <w:rPr>
                <w:rFonts w:cs="Arial"/>
                <w:sz w:val="20"/>
              </w:rPr>
            </w:pPr>
          </w:p>
        </w:tc>
      </w:tr>
      <w:tr w:rsidR="000269E3" w:rsidRPr="00BD011C" w14:paraId="73B6C0B8" w14:textId="77777777" w:rsidTr="001A637D">
        <w:trPr>
          <w:cantSplit/>
          <w:trHeight w:val="403"/>
        </w:trPr>
        <w:tc>
          <w:tcPr>
            <w:tcW w:w="4233" w:type="dxa"/>
            <w:shd w:val="clear" w:color="auto" w:fill="FFFFFF"/>
          </w:tcPr>
          <w:p w14:paraId="1796F284" w14:textId="77777777" w:rsidR="000269E3" w:rsidRPr="00BD011C" w:rsidRDefault="000269E3" w:rsidP="00FD6C9A">
            <w:pPr>
              <w:pStyle w:val="123"/>
              <w:spacing w:before="120" w:after="120"/>
              <w:rPr>
                <w:rFonts w:ascii="Arial" w:hAnsi="Arial" w:cs="Arial"/>
                <w:snapToGrid/>
              </w:rPr>
            </w:pPr>
            <w:r w:rsidRPr="00BD011C">
              <w:rPr>
                <w:rFonts w:ascii="Arial" w:hAnsi="Arial" w:cs="Arial"/>
                <w:snapToGrid/>
              </w:rPr>
              <w:t>Les impôts incidents, tels les droits sur les transferts de terrains et les droits sur les mutations immobilières, sont-ils considérés?</w:t>
            </w:r>
          </w:p>
        </w:tc>
        <w:tc>
          <w:tcPr>
            <w:tcW w:w="628" w:type="dxa"/>
            <w:shd w:val="clear" w:color="auto" w:fill="FFFFFF"/>
          </w:tcPr>
          <w:p w14:paraId="14E25F96" w14:textId="77777777" w:rsidR="000269E3" w:rsidRPr="00BD011C" w:rsidRDefault="000269E3" w:rsidP="00FD6C9A">
            <w:pPr>
              <w:spacing w:before="120" w:after="120"/>
              <w:jc w:val="center"/>
              <w:rPr>
                <w:rFonts w:cs="Arial"/>
                <w:sz w:val="20"/>
              </w:rPr>
            </w:pPr>
          </w:p>
        </w:tc>
        <w:tc>
          <w:tcPr>
            <w:tcW w:w="717" w:type="dxa"/>
            <w:shd w:val="clear" w:color="auto" w:fill="FFFFFF"/>
          </w:tcPr>
          <w:p w14:paraId="4B79C8B8" w14:textId="77777777" w:rsidR="000269E3" w:rsidRPr="00BD011C" w:rsidRDefault="000269E3" w:rsidP="00FD6C9A">
            <w:pPr>
              <w:spacing w:before="120" w:after="120"/>
              <w:jc w:val="center"/>
              <w:rPr>
                <w:rFonts w:cs="Arial"/>
                <w:sz w:val="20"/>
              </w:rPr>
            </w:pPr>
          </w:p>
        </w:tc>
        <w:tc>
          <w:tcPr>
            <w:tcW w:w="659" w:type="dxa"/>
            <w:shd w:val="clear" w:color="auto" w:fill="FFFFFF"/>
          </w:tcPr>
          <w:p w14:paraId="1A1622C6" w14:textId="77777777" w:rsidR="000269E3" w:rsidRPr="00BD011C" w:rsidRDefault="000269E3" w:rsidP="00FD6C9A">
            <w:pPr>
              <w:spacing w:before="120" w:after="120"/>
              <w:jc w:val="center"/>
              <w:rPr>
                <w:rFonts w:cs="Arial"/>
                <w:sz w:val="20"/>
              </w:rPr>
            </w:pPr>
          </w:p>
        </w:tc>
        <w:tc>
          <w:tcPr>
            <w:tcW w:w="3121" w:type="dxa"/>
            <w:shd w:val="clear" w:color="auto" w:fill="FFFFFF"/>
          </w:tcPr>
          <w:p w14:paraId="5E40B6EE" w14:textId="77777777" w:rsidR="000269E3" w:rsidRPr="00BD011C" w:rsidRDefault="000269E3" w:rsidP="00FD6C9A">
            <w:pPr>
              <w:spacing w:before="120" w:after="120"/>
              <w:jc w:val="center"/>
              <w:rPr>
                <w:rFonts w:cs="Arial"/>
                <w:sz w:val="20"/>
              </w:rPr>
            </w:pPr>
          </w:p>
        </w:tc>
      </w:tr>
      <w:tr w:rsidR="000269E3" w:rsidRPr="00BD011C" w14:paraId="40E3A8C6" w14:textId="77777777" w:rsidTr="001A637D">
        <w:trPr>
          <w:cantSplit/>
          <w:trHeight w:val="403"/>
        </w:trPr>
        <w:tc>
          <w:tcPr>
            <w:tcW w:w="4233" w:type="dxa"/>
            <w:shd w:val="clear" w:color="auto" w:fill="FFFFFF"/>
          </w:tcPr>
          <w:p w14:paraId="450C4123" w14:textId="0257107A" w:rsidR="000269E3" w:rsidRPr="00BD011C" w:rsidRDefault="000269E3" w:rsidP="00FD6C9A">
            <w:pPr>
              <w:pStyle w:val="123"/>
              <w:spacing w:before="120" w:after="120"/>
              <w:rPr>
                <w:rFonts w:ascii="Arial" w:hAnsi="Arial" w:cs="Arial"/>
                <w:snapToGrid/>
              </w:rPr>
            </w:pPr>
            <w:r w:rsidRPr="00BD011C">
              <w:rPr>
                <w:rFonts w:ascii="Arial" w:hAnsi="Arial" w:cs="Arial"/>
                <w:snapToGrid/>
              </w:rPr>
              <w:t>L</w:t>
            </w:r>
            <w:r w:rsidR="0095557E">
              <w:rPr>
                <w:rFonts w:ascii="Arial" w:hAnsi="Arial" w:cs="Arial"/>
                <w:snapToGrid/>
              </w:rPr>
              <w:t>’</w:t>
            </w:r>
            <w:r w:rsidRPr="00BD011C">
              <w:rPr>
                <w:rFonts w:ascii="Arial" w:hAnsi="Arial" w:cs="Arial"/>
                <w:snapToGrid/>
              </w:rPr>
              <w:t>effet du transfert sur les programmes de subventions gouvernementales dont bénéficiait le cédant est-il considéré?</w:t>
            </w:r>
          </w:p>
        </w:tc>
        <w:tc>
          <w:tcPr>
            <w:tcW w:w="628" w:type="dxa"/>
            <w:shd w:val="clear" w:color="auto" w:fill="FFFFFF"/>
          </w:tcPr>
          <w:p w14:paraId="022BC3F2" w14:textId="77777777" w:rsidR="000269E3" w:rsidRPr="00BD011C" w:rsidRDefault="000269E3" w:rsidP="00FD6C9A">
            <w:pPr>
              <w:spacing w:before="120" w:after="120"/>
              <w:jc w:val="center"/>
              <w:rPr>
                <w:rFonts w:cs="Arial"/>
                <w:sz w:val="20"/>
              </w:rPr>
            </w:pPr>
          </w:p>
        </w:tc>
        <w:tc>
          <w:tcPr>
            <w:tcW w:w="717" w:type="dxa"/>
            <w:shd w:val="clear" w:color="auto" w:fill="FFFFFF"/>
          </w:tcPr>
          <w:p w14:paraId="6408C16D" w14:textId="77777777" w:rsidR="000269E3" w:rsidRPr="00BD011C" w:rsidRDefault="000269E3" w:rsidP="00FD6C9A">
            <w:pPr>
              <w:spacing w:before="120" w:after="120"/>
              <w:jc w:val="center"/>
              <w:rPr>
                <w:rFonts w:cs="Arial"/>
                <w:sz w:val="20"/>
              </w:rPr>
            </w:pPr>
          </w:p>
        </w:tc>
        <w:tc>
          <w:tcPr>
            <w:tcW w:w="659" w:type="dxa"/>
            <w:shd w:val="clear" w:color="auto" w:fill="FFFFFF"/>
          </w:tcPr>
          <w:p w14:paraId="3EF15A60" w14:textId="77777777" w:rsidR="000269E3" w:rsidRPr="00BD011C" w:rsidRDefault="000269E3" w:rsidP="00FD6C9A">
            <w:pPr>
              <w:spacing w:before="120" w:after="120"/>
              <w:jc w:val="center"/>
              <w:rPr>
                <w:rFonts w:cs="Arial"/>
                <w:sz w:val="20"/>
              </w:rPr>
            </w:pPr>
          </w:p>
        </w:tc>
        <w:tc>
          <w:tcPr>
            <w:tcW w:w="3121" w:type="dxa"/>
            <w:shd w:val="clear" w:color="auto" w:fill="FFFFFF"/>
          </w:tcPr>
          <w:p w14:paraId="4C24F54F" w14:textId="77777777" w:rsidR="000269E3" w:rsidRPr="00BD011C" w:rsidRDefault="000269E3" w:rsidP="00FD6C9A">
            <w:pPr>
              <w:spacing w:before="120" w:after="120"/>
              <w:jc w:val="center"/>
              <w:rPr>
                <w:rFonts w:cs="Arial"/>
                <w:sz w:val="20"/>
              </w:rPr>
            </w:pPr>
          </w:p>
        </w:tc>
      </w:tr>
      <w:tr w:rsidR="000269E3" w:rsidRPr="00BD011C" w14:paraId="7685ACA6" w14:textId="77777777" w:rsidTr="001A637D">
        <w:trPr>
          <w:cantSplit/>
          <w:trHeight w:val="403"/>
        </w:trPr>
        <w:tc>
          <w:tcPr>
            <w:tcW w:w="4233" w:type="dxa"/>
            <w:shd w:val="clear" w:color="auto" w:fill="FFFFFF"/>
          </w:tcPr>
          <w:p w14:paraId="78CE7BEF" w14:textId="77777777" w:rsidR="000269E3" w:rsidRPr="00BD011C" w:rsidRDefault="000269E3" w:rsidP="00FD6C9A">
            <w:pPr>
              <w:spacing w:before="120" w:after="120"/>
              <w:rPr>
                <w:rFonts w:cs="Arial"/>
                <w:sz w:val="20"/>
              </w:rPr>
            </w:pPr>
            <w:r w:rsidRPr="00BD011C">
              <w:rPr>
                <w:rFonts w:cs="Arial"/>
                <w:sz w:val="20"/>
              </w:rPr>
              <w:t>Les arrangements financiers conséquemment au transfert des biens sont</w:t>
            </w:r>
            <w:r w:rsidRPr="00BD011C">
              <w:rPr>
                <w:rFonts w:cs="Arial"/>
                <w:sz w:val="20"/>
              </w:rPr>
              <w:noBreakHyphen/>
              <w:t>ils vérifiés?</w:t>
            </w:r>
          </w:p>
        </w:tc>
        <w:tc>
          <w:tcPr>
            <w:tcW w:w="628" w:type="dxa"/>
            <w:shd w:val="clear" w:color="auto" w:fill="FFFFFF"/>
          </w:tcPr>
          <w:p w14:paraId="24756F05" w14:textId="77777777" w:rsidR="000269E3" w:rsidRPr="00BD011C" w:rsidRDefault="000269E3" w:rsidP="00FD6C9A">
            <w:pPr>
              <w:spacing w:before="120" w:after="120"/>
              <w:jc w:val="center"/>
              <w:rPr>
                <w:rFonts w:cs="Arial"/>
                <w:sz w:val="20"/>
              </w:rPr>
            </w:pPr>
          </w:p>
        </w:tc>
        <w:tc>
          <w:tcPr>
            <w:tcW w:w="717" w:type="dxa"/>
            <w:shd w:val="clear" w:color="auto" w:fill="FFFFFF"/>
          </w:tcPr>
          <w:p w14:paraId="4830DB92" w14:textId="77777777" w:rsidR="000269E3" w:rsidRPr="00BD011C" w:rsidRDefault="000269E3" w:rsidP="00FD6C9A">
            <w:pPr>
              <w:spacing w:before="120" w:after="120"/>
              <w:jc w:val="center"/>
              <w:rPr>
                <w:rFonts w:cs="Arial"/>
                <w:sz w:val="20"/>
              </w:rPr>
            </w:pPr>
          </w:p>
        </w:tc>
        <w:tc>
          <w:tcPr>
            <w:tcW w:w="659" w:type="dxa"/>
            <w:shd w:val="clear" w:color="auto" w:fill="FFFFFF"/>
          </w:tcPr>
          <w:p w14:paraId="15645831" w14:textId="77777777" w:rsidR="000269E3" w:rsidRPr="00BD011C" w:rsidRDefault="000269E3" w:rsidP="00FD6C9A">
            <w:pPr>
              <w:spacing w:before="120" w:after="120"/>
              <w:jc w:val="center"/>
              <w:rPr>
                <w:rFonts w:cs="Arial"/>
                <w:sz w:val="20"/>
              </w:rPr>
            </w:pPr>
          </w:p>
        </w:tc>
        <w:tc>
          <w:tcPr>
            <w:tcW w:w="3121" w:type="dxa"/>
            <w:shd w:val="clear" w:color="auto" w:fill="FFFFFF"/>
          </w:tcPr>
          <w:p w14:paraId="459815B5" w14:textId="77777777" w:rsidR="000269E3" w:rsidRPr="00BD011C" w:rsidRDefault="000269E3" w:rsidP="00FD6C9A">
            <w:pPr>
              <w:spacing w:before="120" w:after="120"/>
              <w:jc w:val="center"/>
              <w:rPr>
                <w:rFonts w:cs="Arial"/>
                <w:sz w:val="20"/>
              </w:rPr>
            </w:pPr>
          </w:p>
        </w:tc>
      </w:tr>
      <w:tr w:rsidR="00581BA6" w:rsidRPr="00BD011C" w14:paraId="41D4DBE6" w14:textId="77777777" w:rsidTr="001A637D">
        <w:trPr>
          <w:cantSplit/>
          <w:trHeight w:val="403"/>
        </w:trPr>
        <w:tc>
          <w:tcPr>
            <w:tcW w:w="4233" w:type="dxa"/>
            <w:shd w:val="clear" w:color="auto" w:fill="FFFFFF"/>
          </w:tcPr>
          <w:p w14:paraId="013D4BBA" w14:textId="77777777" w:rsidR="00581BA6" w:rsidRPr="00BD011C" w:rsidRDefault="00581BA6" w:rsidP="00FD6C9A">
            <w:pPr>
              <w:spacing w:before="120" w:after="120"/>
              <w:rPr>
                <w:rFonts w:cs="Arial"/>
                <w:sz w:val="20"/>
              </w:rPr>
            </w:pPr>
            <w:r w:rsidRPr="00BD011C">
              <w:rPr>
                <w:rFonts w:cs="Arial"/>
                <w:sz w:val="20"/>
              </w:rPr>
              <w:t>Est-ce que l’entente comporte une clause de rajustement de prix permettant d’ajuster les valeurs indiquées sur le formulaire de roulement advenant une contestation par les autorités fiscales?</w:t>
            </w:r>
          </w:p>
        </w:tc>
        <w:tc>
          <w:tcPr>
            <w:tcW w:w="628" w:type="dxa"/>
            <w:shd w:val="clear" w:color="auto" w:fill="FFFFFF"/>
          </w:tcPr>
          <w:p w14:paraId="278ED5F2" w14:textId="77777777" w:rsidR="00581BA6" w:rsidRPr="00BD011C" w:rsidRDefault="00581BA6" w:rsidP="00FD6C9A">
            <w:pPr>
              <w:spacing w:before="120" w:after="120"/>
              <w:jc w:val="center"/>
              <w:rPr>
                <w:rFonts w:cs="Arial"/>
                <w:sz w:val="20"/>
              </w:rPr>
            </w:pPr>
          </w:p>
        </w:tc>
        <w:tc>
          <w:tcPr>
            <w:tcW w:w="717" w:type="dxa"/>
            <w:shd w:val="clear" w:color="auto" w:fill="FFFFFF"/>
          </w:tcPr>
          <w:p w14:paraId="2DB2614F" w14:textId="77777777" w:rsidR="00581BA6" w:rsidRPr="00BD011C" w:rsidRDefault="00581BA6" w:rsidP="00FD6C9A">
            <w:pPr>
              <w:spacing w:before="120" w:after="120"/>
              <w:jc w:val="center"/>
              <w:rPr>
                <w:rFonts w:cs="Arial"/>
                <w:sz w:val="20"/>
              </w:rPr>
            </w:pPr>
          </w:p>
        </w:tc>
        <w:tc>
          <w:tcPr>
            <w:tcW w:w="659" w:type="dxa"/>
            <w:shd w:val="clear" w:color="auto" w:fill="FFFFFF"/>
          </w:tcPr>
          <w:p w14:paraId="2F4BE21D" w14:textId="77777777" w:rsidR="00581BA6" w:rsidRPr="00BD011C" w:rsidRDefault="00581BA6" w:rsidP="00FD6C9A">
            <w:pPr>
              <w:spacing w:before="120" w:after="120"/>
              <w:jc w:val="center"/>
              <w:rPr>
                <w:rFonts w:cs="Arial"/>
                <w:sz w:val="20"/>
              </w:rPr>
            </w:pPr>
          </w:p>
        </w:tc>
        <w:tc>
          <w:tcPr>
            <w:tcW w:w="3121" w:type="dxa"/>
            <w:shd w:val="clear" w:color="auto" w:fill="FFFFFF"/>
          </w:tcPr>
          <w:p w14:paraId="0D2E3C88" w14:textId="77777777" w:rsidR="00581BA6" w:rsidRPr="00BD011C" w:rsidRDefault="00581BA6" w:rsidP="00FD6C9A">
            <w:pPr>
              <w:spacing w:before="120" w:after="120"/>
              <w:jc w:val="center"/>
              <w:rPr>
                <w:rFonts w:cs="Arial"/>
                <w:sz w:val="20"/>
              </w:rPr>
            </w:pPr>
          </w:p>
        </w:tc>
      </w:tr>
    </w:tbl>
    <w:p w14:paraId="1E04E860" w14:textId="77777777" w:rsidR="00143497" w:rsidRPr="00BD011C" w:rsidRDefault="00143497" w:rsidP="004A359B">
      <w:pPr>
        <w:rPr>
          <w:rFonts w:cs="Arial"/>
        </w:rPr>
      </w:pPr>
    </w:p>
    <w:sectPr w:rsidR="00143497" w:rsidRPr="00BD011C" w:rsidSect="000460E3">
      <w:pgSz w:w="12240" w:h="15840" w:code="119"/>
      <w:pgMar w:top="1440" w:right="1440" w:bottom="1440" w:left="1440" w:header="720" w:footer="36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16C9" w14:textId="77777777" w:rsidR="007820E1" w:rsidRDefault="007820E1">
      <w:r>
        <w:separator/>
      </w:r>
    </w:p>
  </w:endnote>
  <w:endnote w:type="continuationSeparator" w:id="0">
    <w:p w14:paraId="76130FDA" w14:textId="77777777" w:rsidR="007820E1" w:rsidRDefault="0078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3192"/>
      <w:gridCol w:w="3193"/>
      <w:gridCol w:w="3191"/>
    </w:tblGrid>
    <w:tr w:rsidR="002E5AAF" w:rsidRPr="002E5AAF" w14:paraId="6BF4C1DC" w14:textId="77777777" w:rsidTr="003B6725">
      <w:tc>
        <w:tcPr>
          <w:tcW w:w="1667" w:type="pct"/>
          <w:shd w:val="clear" w:color="auto" w:fill="auto"/>
        </w:tcPr>
        <w:p w14:paraId="57496EB2" w14:textId="77777777" w:rsidR="002E5AAF" w:rsidRDefault="009D72C0" w:rsidP="003B6725">
          <w:pPr>
            <w:pStyle w:val="Pieddepage"/>
            <w:tabs>
              <w:tab w:val="clear" w:pos="4320"/>
              <w:tab w:val="clear" w:pos="8640"/>
              <w:tab w:val="right" w:pos="9214"/>
              <w:tab w:val="right" w:pos="9356"/>
            </w:tabs>
          </w:pPr>
          <w:r>
            <w:rPr>
              <w:noProof/>
              <w:lang w:val="fr-CA" w:eastAsia="fr-CA"/>
            </w:rPr>
            <w:pict w14:anchorId="19F38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6" type="#_x0000_t75" style="width:69.95pt;height:37.05pt;visibility:visible">
                <v:imagedata r:id="rId1" o:title=""/>
              </v:shape>
            </w:pict>
          </w:r>
        </w:p>
      </w:tc>
      <w:tc>
        <w:tcPr>
          <w:tcW w:w="1667" w:type="pct"/>
          <w:shd w:val="clear" w:color="auto" w:fill="auto"/>
          <w:vAlign w:val="bottom"/>
        </w:tcPr>
        <w:p w14:paraId="37287948" w14:textId="77777777" w:rsidR="002E5AAF" w:rsidRPr="003B6725" w:rsidRDefault="002E5AAF" w:rsidP="003B6725">
          <w:pPr>
            <w:pStyle w:val="Pieddepage"/>
            <w:tabs>
              <w:tab w:val="clear" w:pos="4320"/>
              <w:tab w:val="clear" w:pos="8640"/>
              <w:tab w:val="left" w:pos="1229"/>
              <w:tab w:val="right" w:pos="4534"/>
              <w:tab w:val="right" w:pos="9214"/>
              <w:tab w:val="right" w:pos="9356"/>
            </w:tabs>
            <w:jc w:val="center"/>
            <w:rPr>
              <w:smallCaps/>
            </w:rPr>
          </w:pPr>
        </w:p>
      </w:tc>
      <w:tc>
        <w:tcPr>
          <w:tcW w:w="1667" w:type="pct"/>
          <w:tcBorders>
            <w:left w:val="nil"/>
          </w:tcBorders>
          <w:shd w:val="clear" w:color="auto" w:fill="auto"/>
          <w:vAlign w:val="bottom"/>
        </w:tcPr>
        <w:p w14:paraId="26C19819" w14:textId="77777777" w:rsidR="002E5AAF" w:rsidRPr="009729F0" w:rsidRDefault="002E5AAF" w:rsidP="009729F0">
          <w:pPr>
            <w:tabs>
              <w:tab w:val="right" w:pos="9360"/>
            </w:tabs>
            <w:spacing w:before="40"/>
            <w:jc w:val="right"/>
            <w:rPr>
              <w:smallCaps/>
              <w:sz w:val="22"/>
              <w:szCs w:val="22"/>
              <w:lang w:val="en-US" w:eastAsia="fr-CA"/>
            </w:rPr>
          </w:pPr>
          <w:r w:rsidRPr="009729F0">
            <w:rPr>
              <w:smallCaps/>
              <w:sz w:val="22"/>
              <w:szCs w:val="22"/>
              <w:lang w:val="en-US" w:eastAsia="fr-CA"/>
            </w:rPr>
            <w:t xml:space="preserve">Page </w:t>
          </w:r>
          <w:r w:rsidRPr="009729F0">
            <w:rPr>
              <w:smallCaps/>
              <w:sz w:val="22"/>
              <w:szCs w:val="22"/>
              <w:lang w:val="en-US" w:eastAsia="fr-CA"/>
            </w:rPr>
            <w:fldChar w:fldCharType="begin"/>
          </w:r>
          <w:r w:rsidRPr="009729F0">
            <w:rPr>
              <w:smallCaps/>
              <w:sz w:val="22"/>
              <w:szCs w:val="22"/>
              <w:lang w:val="en-US" w:eastAsia="fr-CA"/>
            </w:rPr>
            <w:instrText>PAGE   \* MERGEFORMAT</w:instrText>
          </w:r>
          <w:r w:rsidRPr="009729F0">
            <w:rPr>
              <w:smallCaps/>
              <w:sz w:val="22"/>
              <w:szCs w:val="22"/>
              <w:lang w:val="en-US" w:eastAsia="fr-CA"/>
            </w:rPr>
            <w:fldChar w:fldCharType="separate"/>
          </w:r>
          <w:r w:rsidR="00F81D5A">
            <w:rPr>
              <w:smallCaps/>
              <w:noProof/>
              <w:sz w:val="22"/>
              <w:szCs w:val="22"/>
              <w:lang w:val="en-US" w:eastAsia="fr-CA"/>
            </w:rPr>
            <w:t>VI</w:t>
          </w:r>
          <w:r w:rsidRPr="009729F0">
            <w:rPr>
              <w:smallCaps/>
              <w:sz w:val="22"/>
              <w:szCs w:val="22"/>
              <w:lang w:val="en-US" w:eastAsia="fr-CA"/>
            </w:rPr>
            <w:fldChar w:fldCharType="end"/>
          </w:r>
        </w:p>
      </w:tc>
    </w:tr>
  </w:tbl>
  <w:p w14:paraId="27BDF967" w14:textId="77777777" w:rsidR="002E5AAF" w:rsidRPr="003807B7" w:rsidRDefault="002E5AAF" w:rsidP="002E5AAF">
    <w:pPr>
      <w:tabs>
        <w:tab w:val="right" w:pos="9356"/>
      </w:tabs>
      <w:rPr>
        <w:small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6912"/>
      <w:gridCol w:w="2588"/>
    </w:tblGrid>
    <w:tr w:rsidR="00741720" w:rsidRPr="00F640F5" w14:paraId="7E523CE7" w14:textId="77777777" w:rsidTr="00F24589">
      <w:tc>
        <w:tcPr>
          <w:tcW w:w="6912" w:type="dxa"/>
          <w:shd w:val="clear" w:color="auto" w:fill="auto"/>
        </w:tcPr>
        <w:p w14:paraId="1B549947" w14:textId="77777777" w:rsidR="00741720" w:rsidRPr="00EC789C" w:rsidRDefault="00741720" w:rsidP="00F24589">
          <w:pPr>
            <w:tabs>
              <w:tab w:val="right" w:pos="9360"/>
            </w:tabs>
            <w:spacing w:before="40"/>
            <w:jc w:val="both"/>
            <w:rPr>
              <w:sz w:val="20"/>
              <w:lang w:eastAsia="fr-CA"/>
            </w:rPr>
          </w:pPr>
          <w:r w:rsidRPr="00D51168">
            <w:rPr>
              <w:sz w:val="20"/>
              <w:lang w:eastAsia="fr-CA"/>
            </w:rPr>
            <w:t>© Ordre des CPA du Québec.</w:t>
          </w:r>
        </w:p>
      </w:tc>
      <w:tc>
        <w:tcPr>
          <w:tcW w:w="2588" w:type="dxa"/>
          <w:shd w:val="clear" w:color="auto" w:fill="auto"/>
        </w:tcPr>
        <w:p w14:paraId="17890359" w14:textId="77777777" w:rsidR="00741720" w:rsidRPr="00F640F5" w:rsidRDefault="00741720" w:rsidP="00F24589">
          <w:pPr>
            <w:tabs>
              <w:tab w:val="right" w:pos="9360"/>
            </w:tabs>
            <w:spacing w:before="40"/>
            <w:jc w:val="right"/>
            <w:rPr>
              <w:sz w:val="20"/>
              <w:lang w:val="en-US" w:eastAsia="fr-CA"/>
            </w:rPr>
          </w:pPr>
          <w:r w:rsidRPr="00F640F5">
            <w:rPr>
              <w:smallCaps/>
              <w:sz w:val="22"/>
              <w:szCs w:val="22"/>
              <w:lang w:val="en-US" w:eastAsia="fr-CA"/>
            </w:rPr>
            <w:t xml:space="preserve">Page </w:t>
          </w:r>
          <w:r w:rsidRPr="00F640F5">
            <w:rPr>
              <w:smallCaps/>
              <w:sz w:val="22"/>
              <w:szCs w:val="22"/>
              <w:lang w:val="en-US" w:eastAsia="fr-CA"/>
            </w:rPr>
            <w:fldChar w:fldCharType="begin"/>
          </w:r>
          <w:r w:rsidRPr="00F640F5">
            <w:rPr>
              <w:smallCaps/>
              <w:sz w:val="22"/>
              <w:szCs w:val="22"/>
              <w:lang w:val="en-US" w:eastAsia="fr-CA"/>
            </w:rPr>
            <w:instrText>PAGE   \* MERGEFORMAT</w:instrText>
          </w:r>
          <w:r w:rsidRPr="00F640F5">
            <w:rPr>
              <w:smallCaps/>
              <w:sz w:val="22"/>
              <w:szCs w:val="22"/>
              <w:lang w:val="en-US" w:eastAsia="fr-CA"/>
            </w:rPr>
            <w:fldChar w:fldCharType="separate"/>
          </w:r>
          <w:r w:rsidR="00F81D5A" w:rsidRPr="00F81D5A">
            <w:rPr>
              <w:smallCaps/>
              <w:noProof/>
              <w:sz w:val="22"/>
              <w:szCs w:val="22"/>
              <w:lang w:val="fr-FR" w:eastAsia="fr-CA"/>
            </w:rPr>
            <w:t>11</w:t>
          </w:r>
          <w:r w:rsidRPr="00F640F5">
            <w:rPr>
              <w:smallCaps/>
              <w:sz w:val="22"/>
              <w:szCs w:val="22"/>
              <w:lang w:val="en-US" w:eastAsia="fr-CA"/>
            </w:rPr>
            <w:fldChar w:fldCharType="end"/>
          </w:r>
        </w:p>
      </w:tc>
    </w:tr>
    <w:tr w:rsidR="00741720" w:rsidRPr="00D51168" w14:paraId="0AD2F38E" w14:textId="77777777" w:rsidTr="00F24589">
      <w:tc>
        <w:tcPr>
          <w:tcW w:w="6912" w:type="dxa"/>
          <w:shd w:val="clear" w:color="auto" w:fill="auto"/>
        </w:tcPr>
        <w:p w14:paraId="33F76660" w14:textId="77777777" w:rsidR="00741720" w:rsidRPr="00D51168" w:rsidRDefault="00741720" w:rsidP="00F24589">
          <w:pPr>
            <w:tabs>
              <w:tab w:val="right" w:pos="9360"/>
            </w:tabs>
            <w:jc w:val="both"/>
            <w:rPr>
              <w:sz w:val="20"/>
              <w:lang w:eastAsia="fr-CA"/>
            </w:rPr>
          </w:pPr>
        </w:p>
      </w:tc>
      <w:tc>
        <w:tcPr>
          <w:tcW w:w="2588" w:type="dxa"/>
          <w:shd w:val="clear" w:color="auto" w:fill="auto"/>
        </w:tcPr>
        <w:p w14:paraId="351F3F7A" w14:textId="77777777" w:rsidR="00741720" w:rsidRPr="00D51168" w:rsidRDefault="00741720" w:rsidP="00F24589">
          <w:pPr>
            <w:tabs>
              <w:tab w:val="right" w:pos="9360"/>
            </w:tabs>
            <w:spacing w:before="40"/>
            <w:jc w:val="right"/>
            <w:rPr>
              <w:smallCaps/>
              <w:sz w:val="22"/>
              <w:szCs w:val="22"/>
              <w:lang w:eastAsia="fr-CA"/>
            </w:rPr>
          </w:pPr>
        </w:p>
      </w:tc>
    </w:tr>
  </w:tbl>
  <w:p w14:paraId="59D645F5" w14:textId="77777777" w:rsidR="00741720" w:rsidRPr="00D51168" w:rsidRDefault="00741720" w:rsidP="007D2356">
    <w:pPr>
      <w:tabs>
        <w:tab w:val="center" w:pos="4320"/>
        <w:tab w:val="right" w:pos="8640"/>
      </w:tabs>
      <w:jc w:val="both"/>
      <w:rPr>
        <w:sz w:val="8"/>
        <w:lang w:eastAsia="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FE21" w14:textId="77777777" w:rsidR="007820E1" w:rsidRDefault="007820E1">
      <w:r>
        <w:separator/>
      </w:r>
    </w:p>
  </w:footnote>
  <w:footnote w:type="continuationSeparator" w:id="0">
    <w:p w14:paraId="6ED1E9E9" w14:textId="77777777" w:rsidR="007820E1" w:rsidRDefault="0078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37FC" w14:textId="77777777" w:rsidR="00454719" w:rsidRPr="00BE22A6" w:rsidRDefault="00454719" w:rsidP="005C17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9753" w14:textId="77777777" w:rsidR="00454719" w:rsidRPr="005707E6" w:rsidRDefault="00454719" w:rsidP="005C17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Layout w:type="fixed"/>
      <w:tblCellMar>
        <w:left w:w="70" w:type="dxa"/>
        <w:right w:w="70" w:type="dxa"/>
      </w:tblCellMar>
      <w:tblLook w:val="0000" w:firstRow="0" w:lastRow="0" w:firstColumn="0" w:lastColumn="0" w:noHBand="0" w:noVBand="0"/>
    </w:tblPr>
    <w:tblGrid>
      <w:gridCol w:w="9430"/>
    </w:tblGrid>
    <w:tr w:rsidR="00270E69" w:rsidRPr="004A359B" w14:paraId="1E6D279E" w14:textId="77777777" w:rsidTr="00902156">
      <w:trPr>
        <w:cantSplit/>
        <w:trHeight w:val="720"/>
      </w:trPr>
      <w:tc>
        <w:tcPr>
          <w:tcW w:w="9430" w:type="dxa"/>
          <w:tcBorders>
            <w:top w:val="single" w:sz="4" w:space="0" w:color="auto"/>
            <w:bottom w:val="single" w:sz="4" w:space="0" w:color="auto"/>
          </w:tcBorders>
          <w:vAlign w:val="center"/>
        </w:tcPr>
        <w:p w14:paraId="2FD87780" w14:textId="77777777" w:rsidR="00270E69" w:rsidRPr="004A359B" w:rsidRDefault="00270E69" w:rsidP="008763B6">
          <w:pPr>
            <w:rPr>
              <w:rFonts w:cs="Arial"/>
              <w:sz w:val="22"/>
            </w:rPr>
          </w:pPr>
          <w:r w:rsidRPr="00270E69">
            <w:rPr>
              <w:rFonts w:cs="Arial"/>
              <w:smallCaps/>
              <w:sz w:val="22"/>
              <w:szCs w:val="22"/>
            </w:rPr>
            <w:t>Liste de contrôle – Roulement de biens à une entreprise</w:t>
          </w:r>
        </w:p>
      </w:tc>
    </w:tr>
  </w:tbl>
  <w:p w14:paraId="5C95A220" w14:textId="77777777" w:rsidR="00741720" w:rsidRPr="004A359B" w:rsidRDefault="00741720" w:rsidP="004A359B">
    <w:pPr>
      <w:pStyle w:val="En-tte"/>
      <w:rPr>
        <w:rFonts w:cs="Arial"/>
        <w:sz w:val="18"/>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20CD3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20365"/>
    <w:multiLevelType w:val="singleLevel"/>
    <w:tmpl w:val="C7F45C42"/>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048A573A"/>
    <w:multiLevelType w:val="hybridMultilevel"/>
    <w:tmpl w:val="6C3EED9E"/>
    <w:lvl w:ilvl="0" w:tplc="66A65FB0">
      <w:start w:val="36"/>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D6C72"/>
    <w:multiLevelType w:val="singleLevel"/>
    <w:tmpl w:val="C7F45C42"/>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C2A5EE3"/>
    <w:multiLevelType w:val="singleLevel"/>
    <w:tmpl w:val="CD1664C8"/>
    <w:lvl w:ilvl="0">
      <w:start w:val="1"/>
      <w:numFmt w:val="bullet"/>
      <w:pStyle w:val="Puce"/>
      <w:lvlText w:val=""/>
      <w:lvlJc w:val="left"/>
      <w:pPr>
        <w:tabs>
          <w:tab w:val="num" w:pos="454"/>
        </w:tabs>
        <w:ind w:left="454" w:hanging="454"/>
      </w:pPr>
      <w:rPr>
        <w:rFonts w:ascii="WP IconicSymbolsB" w:hAnsi="WP IconicSymbolsB" w:hint="default"/>
        <w:sz w:val="24"/>
      </w:rPr>
    </w:lvl>
  </w:abstractNum>
  <w:abstractNum w:abstractNumId="6" w15:restartNumberingAfterBreak="0">
    <w:nsid w:val="13DD3B15"/>
    <w:multiLevelType w:val="singleLevel"/>
    <w:tmpl w:val="CAEA1E70"/>
    <w:lvl w:ilvl="0">
      <w:start w:val="1"/>
      <w:numFmt w:val="bullet"/>
      <w:pStyle w:val="niveau2"/>
      <w:lvlText w:val=""/>
      <w:lvlJc w:val="left"/>
      <w:pPr>
        <w:tabs>
          <w:tab w:val="num" w:pos="0"/>
        </w:tabs>
        <w:ind w:left="283" w:hanging="283"/>
      </w:pPr>
      <w:rPr>
        <w:rFonts w:ascii="Symbol" w:hAnsi="Symbol" w:hint="default"/>
      </w:rPr>
    </w:lvl>
  </w:abstractNum>
  <w:abstractNum w:abstractNumId="7" w15:restartNumberingAfterBreak="0">
    <w:nsid w:val="16032532"/>
    <w:multiLevelType w:val="singleLevel"/>
    <w:tmpl w:val="C7F45C42"/>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21AD2B70"/>
    <w:multiLevelType w:val="hybridMultilevel"/>
    <w:tmpl w:val="E2FC86BE"/>
    <w:lvl w:ilvl="0" w:tplc="DA266B74">
      <w:start w:val="28"/>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6358F"/>
    <w:multiLevelType w:val="singleLevel"/>
    <w:tmpl w:val="C7F45C42"/>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25AE39E7"/>
    <w:multiLevelType w:val="singleLevel"/>
    <w:tmpl w:val="C7F45C42"/>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268500E0"/>
    <w:multiLevelType w:val="hybridMultilevel"/>
    <w:tmpl w:val="77DCB318"/>
    <w:lvl w:ilvl="0" w:tplc="73A032F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8435DE9"/>
    <w:multiLevelType w:val="singleLevel"/>
    <w:tmpl w:val="C7F45C42"/>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28C000B5"/>
    <w:multiLevelType w:val="singleLevel"/>
    <w:tmpl w:val="C7F45C42"/>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2D8E4FB7"/>
    <w:multiLevelType w:val="singleLevel"/>
    <w:tmpl w:val="68E208F8"/>
    <w:lvl w:ilvl="0">
      <w:numFmt w:val="bullet"/>
      <w:pStyle w:val="Titre4"/>
      <w:lvlText w:val=""/>
      <w:lvlJc w:val="left"/>
      <w:pPr>
        <w:tabs>
          <w:tab w:val="num" w:pos="720"/>
        </w:tabs>
        <w:ind w:left="360" w:firstLine="0"/>
      </w:pPr>
      <w:rPr>
        <w:rFonts w:ascii="Wingdings" w:hAnsi="Wingdings" w:hint="default"/>
        <w:b w:val="0"/>
        <w:i/>
        <w:sz w:val="16"/>
      </w:rPr>
    </w:lvl>
  </w:abstractNum>
  <w:abstractNum w:abstractNumId="15" w15:restartNumberingAfterBreak="0">
    <w:nsid w:val="2EF1093E"/>
    <w:multiLevelType w:val="singleLevel"/>
    <w:tmpl w:val="C7F45C42"/>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FB44E75"/>
    <w:multiLevelType w:val="singleLevel"/>
    <w:tmpl w:val="C7F45C42"/>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34781E2A"/>
    <w:multiLevelType w:val="singleLevel"/>
    <w:tmpl w:val="F61AC352"/>
    <w:lvl w:ilvl="0">
      <w:numFmt w:val="bullet"/>
      <w:lvlText w:val="–"/>
      <w:lvlJc w:val="left"/>
      <w:pPr>
        <w:tabs>
          <w:tab w:val="num" w:pos="360"/>
        </w:tabs>
        <w:ind w:left="360" w:hanging="360"/>
      </w:pPr>
      <w:rPr>
        <w:rFonts w:ascii="Times New Roman" w:hAnsi="Times New Roman" w:hint="default"/>
        <w:sz w:val="20"/>
      </w:rPr>
    </w:lvl>
  </w:abstractNum>
  <w:abstractNum w:abstractNumId="18" w15:restartNumberingAfterBreak="0">
    <w:nsid w:val="35263938"/>
    <w:multiLevelType w:val="singleLevel"/>
    <w:tmpl w:val="8C482752"/>
    <w:lvl w:ilvl="0">
      <w:start w:val="1"/>
      <w:numFmt w:val="bullet"/>
      <w:pStyle w:val="corpspuce"/>
      <w:lvlText w:val=""/>
      <w:lvlJc w:val="left"/>
      <w:pPr>
        <w:tabs>
          <w:tab w:val="num" w:pos="432"/>
        </w:tabs>
        <w:ind w:left="432" w:hanging="432"/>
      </w:pPr>
      <w:rPr>
        <w:rFonts w:ascii="Symbol" w:hAnsi="Symbol" w:hint="default"/>
      </w:rPr>
    </w:lvl>
  </w:abstractNum>
  <w:abstractNum w:abstractNumId="19" w15:restartNumberingAfterBreak="0">
    <w:nsid w:val="3C0959CB"/>
    <w:multiLevelType w:val="singleLevel"/>
    <w:tmpl w:val="C7F45C42"/>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451321C1"/>
    <w:multiLevelType w:val="singleLevel"/>
    <w:tmpl w:val="F61AC352"/>
    <w:lvl w:ilvl="0">
      <w:numFmt w:val="bullet"/>
      <w:lvlText w:val="–"/>
      <w:lvlJc w:val="left"/>
      <w:pPr>
        <w:tabs>
          <w:tab w:val="num" w:pos="360"/>
        </w:tabs>
        <w:ind w:left="360" w:hanging="360"/>
      </w:pPr>
      <w:rPr>
        <w:rFonts w:ascii="Times New Roman" w:hAnsi="Times New Roman" w:hint="default"/>
        <w:sz w:val="20"/>
      </w:rPr>
    </w:lvl>
  </w:abstractNum>
  <w:abstractNum w:abstractNumId="21" w15:restartNumberingAfterBreak="0">
    <w:nsid w:val="4A78263D"/>
    <w:multiLevelType w:val="singleLevel"/>
    <w:tmpl w:val="C7F45C4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5B6812"/>
    <w:multiLevelType w:val="singleLevel"/>
    <w:tmpl w:val="C7F45C42"/>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54E77084"/>
    <w:multiLevelType w:val="singleLevel"/>
    <w:tmpl w:val="F61AC352"/>
    <w:lvl w:ilvl="0">
      <w:numFmt w:val="bullet"/>
      <w:lvlText w:val="–"/>
      <w:lvlJc w:val="left"/>
      <w:pPr>
        <w:tabs>
          <w:tab w:val="num" w:pos="360"/>
        </w:tabs>
        <w:ind w:left="360" w:hanging="360"/>
      </w:pPr>
      <w:rPr>
        <w:rFonts w:ascii="Times New Roman" w:hAnsi="Times New Roman" w:hint="default"/>
        <w:sz w:val="20"/>
      </w:rPr>
    </w:lvl>
  </w:abstractNum>
  <w:abstractNum w:abstractNumId="24" w15:restartNumberingAfterBreak="0">
    <w:nsid w:val="56972447"/>
    <w:multiLevelType w:val="hybridMultilevel"/>
    <w:tmpl w:val="EB5A92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908537D"/>
    <w:multiLevelType w:val="hybridMultilevel"/>
    <w:tmpl w:val="92B6C436"/>
    <w:lvl w:ilvl="0" w:tplc="8F02E670">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5CB7503"/>
    <w:multiLevelType w:val="hybridMultilevel"/>
    <w:tmpl w:val="810E6A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EDA68C4"/>
    <w:multiLevelType w:val="hybridMultilevel"/>
    <w:tmpl w:val="7D78EF3E"/>
    <w:lvl w:ilvl="0" w:tplc="73A032F4">
      <w:start w:val="1"/>
      <w:numFmt w:val="decimal"/>
      <w:lvlText w:val="%1."/>
      <w:lvlJc w:val="left"/>
      <w:pPr>
        <w:ind w:left="1065" w:hanging="705"/>
      </w:pPr>
      <w:rPr>
        <w:rFonts w:hint="default"/>
      </w:rPr>
    </w:lvl>
    <w:lvl w:ilvl="1" w:tplc="0C0C0001">
      <w:start w:val="1"/>
      <w:numFmt w:val="bullet"/>
      <w:lvlText w:val=""/>
      <w:lvlJc w:val="left"/>
      <w:pPr>
        <w:ind w:left="1440" w:hanging="360"/>
      </w:pPr>
      <w:rPr>
        <w:rFonts w:ascii="Symbol" w:hAnsi="Symbol" w:hint="default"/>
      </w:rPr>
    </w:lvl>
    <w:lvl w:ilvl="2" w:tplc="A88A5DDE">
      <w:numFmt w:val="bullet"/>
      <w:lvlText w:val="•"/>
      <w:lvlJc w:val="left"/>
      <w:pPr>
        <w:ind w:left="2340" w:hanging="360"/>
      </w:pPr>
      <w:rPr>
        <w:rFonts w:ascii="Arial" w:eastAsia="Times New Roman" w:hAnsi="Arial" w:cs="Arial"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F2D571F"/>
    <w:multiLevelType w:val="singleLevel"/>
    <w:tmpl w:val="C7F45C42"/>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702C29B0"/>
    <w:multiLevelType w:val="singleLevel"/>
    <w:tmpl w:val="A34AFFFA"/>
    <w:lvl w:ilvl="0">
      <w:start w:val="1"/>
      <w:numFmt w:val="bullet"/>
      <w:pStyle w:val="puce2"/>
      <w:lvlText w:val=""/>
      <w:lvlJc w:val="left"/>
      <w:pPr>
        <w:tabs>
          <w:tab w:val="num" w:pos="792"/>
        </w:tabs>
        <w:ind w:left="792" w:hanging="360"/>
      </w:pPr>
      <w:rPr>
        <w:rFonts w:ascii="Symbol" w:hAnsi="Symbol" w:hint="default"/>
      </w:rPr>
    </w:lvl>
  </w:abstractNum>
  <w:abstractNum w:abstractNumId="30" w15:restartNumberingAfterBreak="0">
    <w:nsid w:val="70693E1E"/>
    <w:multiLevelType w:val="multilevel"/>
    <w:tmpl w:val="F1AA922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A02660C"/>
    <w:multiLevelType w:val="singleLevel"/>
    <w:tmpl w:val="C7F45C42"/>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7A8B7790"/>
    <w:multiLevelType w:val="singleLevel"/>
    <w:tmpl w:val="C7F45C42"/>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7B8D1217"/>
    <w:multiLevelType w:val="singleLevel"/>
    <w:tmpl w:val="F61AC352"/>
    <w:lvl w:ilvl="0">
      <w:numFmt w:val="bullet"/>
      <w:lvlText w:val="–"/>
      <w:lvlJc w:val="left"/>
      <w:pPr>
        <w:tabs>
          <w:tab w:val="num" w:pos="360"/>
        </w:tabs>
        <w:ind w:left="360" w:hanging="360"/>
      </w:pPr>
      <w:rPr>
        <w:rFonts w:ascii="Times New Roman" w:hAnsi="Times New Roman" w:hint="default"/>
        <w:sz w:val="20"/>
      </w:rPr>
    </w:lvl>
  </w:abstractNum>
  <w:num w:numId="1">
    <w:abstractNumId w:val="18"/>
  </w:num>
  <w:num w:numId="2">
    <w:abstractNumId w:val="6"/>
  </w:num>
  <w:num w:numId="3">
    <w:abstractNumId w:val="0"/>
  </w:num>
  <w:num w:numId="4">
    <w:abstractNumId w:val="5"/>
    <w:lvlOverride w:ilvl="0">
      <w:startOverride w:val="1"/>
    </w:lvlOverride>
  </w:num>
  <w:num w:numId="5">
    <w:abstractNumId w:val="29"/>
  </w:num>
  <w:num w:numId="6">
    <w:abstractNumId w:val="1"/>
    <w:lvlOverride w:ilvl="0">
      <w:lvl w:ilvl="0">
        <w:numFmt w:val="bullet"/>
        <w:lvlText w:val="·"/>
        <w:legacy w:legacy="1" w:legacySpace="0" w:legacyIndent="360"/>
        <w:lvlJc w:val="left"/>
        <w:pPr>
          <w:ind w:left="360" w:hanging="360"/>
        </w:pPr>
        <w:rPr>
          <w:rFonts w:ascii="Times New Roman" w:hAnsi="Times New Roman" w:hint="default"/>
        </w:rPr>
      </w:lvl>
    </w:lvlOverride>
  </w:num>
  <w:num w:numId="7">
    <w:abstractNumId w:val="1"/>
    <w:lvlOverride w:ilvl="0">
      <w:lvl w:ilvl="0">
        <w:numFmt w:val="bullet"/>
        <w:lvlText w:val="–"/>
        <w:legacy w:legacy="1" w:legacySpace="0" w:legacyIndent="330"/>
        <w:lvlJc w:val="left"/>
        <w:pPr>
          <w:ind w:left="330" w:hanging="330"/>
        </w:pPr>
        <w:rPr>
          <w:rFonts w:ascii="Times New Roman" w:hAnsi="Times New Roman" w:hint="default"/>
        </w:rPr>
      </w:lvl>
    </w:lvlOverride>
  </w:num>
  <w:num w:numId="8">
    <w:abstractNumId w:val="23"/>
  </w:num>
  <w:num w:numId="9">
    <w:abstractNumId w:val="20"/>
  </w:num>
  <w:num w:numId="10">
    <w:abstractNumId w:val="17"/>
  </w:num>
  <w:num w:numId="11">
    <w:abstractNumId w:val="33"/>
  </w:num>
  <w:num w:numId="12">
    <w:abstractNumId w:val="14"/>
  </w:num>
  <w:num w:numId="13">
    <w:abstractNumId w:val="4"/>
  </w:num>
  <w:num w:numId="14">
    <w:abstractNumId w:val="9"/>
  </w:num>
  <w:num w:numId="15">
    <w:abstractNumId w:val="32"/>
  </w:num>
  <w:num w:numId="16">
    <w:abstractNumId w:val="12"/>
  </w:num>
  <w:num w:numId="17">
    <w:abstractNumId w:val="2"/>
  </w:num>
  <w:num w:numId="18">
    <w:abstractNumId w:val="28"/>
  </w:num>
  <w:num w:numId="19">
    <w:abstractNumId w:val="31"/>
  </w:num>
  <w:num w:numId="20">
    <w:abstractNumId w:val="15"/>
  </w:num>
  <w:num w:numId="21">
    <w:abstractNumId w:val="19"/>
  </w:num>
  <w:num w:numId="22">
    <w:abstractNumId w:val="7"/>
  </w:num>
  <w:num w:numId="23">
    <w:abstractNumId w:val="16"/>
  </w:num>
  <w:num w:numId="24">
    <w:abstractNumId w:val="13"/>
  </w:num>
  <w:num w:numId="25">
    <w:abstractNumId w:val="22"/>
  </w:num>
  <w:num w:numId="26">
    <w:abstractNumId w:val="21"/>
  </w:num>
  <w:num w:numId="27">
    <w:abstractNumId w:val="10"/>
  </w:num>
  <w:num w:numId="28">
    <w:abstractNumId w:val="3"/>
  </w:num>
  <w:num w:numId="29">
    <w:abstractNumId w:val="8"/>
  </w:num>
  <w:num w:numId="30">
    <w:abstractNumId w:val="30"/>
  </w:num>
  <w:num w:numId="31">
    <w:abstractNumId w:val="27"/>
  </w:num>
  <w:num w:numId="32">
    <w:abstractNumId w:val="11"/>
  </w:num>
  <w:num w:numId="33">
    <w:abstractNumId w:val="24"/>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1268"/>
    <w:rsid w:val="0001224B"/>
    <w:rsid w:val="000269E3"/>
    <w:rsid w:val="000332B1"/>
    <w:rsid w:val="00036F75"/>
    <w:rsid w:val="00043569"/>
    <w:rsid w:val="000451C4"/>
    <w:rsid w:val="000460E3"/>
    <w:rsid w:val="00066DF8"/>
    <w:rsid w:val="000769BA"/>
    <w:rsid w:val="0008523F"/>
    <w:rsid w:val="00097158"/>
    <w:rsid w:val="000A022A"/>
    <w:rsid w:val="000A1E28"/>
    <w:rsid w:val="000A33B7"/>
    <w:rsid w:val="000B302B"/>
    <w:rsid w:val="000D03C2"/>
    <w:rsid w:val="000D6D29"/>
    <w:rsid w:val="000E5130"/>
    <w:rsid w:val="000F23A6"/>
    <w:rsid w:val="0011417B"/>
    <w:rsid w:val="00114621"/>
    <w:rsid w:val="00121268"/>
    <w:rsid w:val="00123776"/>
    <w:rsid w:val="0014297D"/>
    <w:rsid w:val="00143497"/>
    <w:rsid w:val="00170662"/>
    <w:rsid w:val="001740BE"/>
    <w:rsid w:val="00175929"/>
    <w:rsid w:val="00177EDE"/>
    <w:rsid w:val="001A637D"/>
    <w:rsid w:val="00226CE7"/>
    <w:rsid w:val="00227C6F"/>
    <w:rsid w:val="00233337"/>
    <w:rsid w:val="00255534"/>
    <w:rsid w:val="00270E69"/>
    <w:rsid w:val="00277285"/>
    <w:rsid w:val="002B2E6F"/>
    <w:rsid w:val="002B2F63"/>
    <w:rsid w:val="002D1502"/>
    <w:rsid w:val="002E2512"/>
    <w:rsid w:val="002E5AAF"/>
    <w:rsid w:val="00307A6D"/>
    <w:rsid w:val="003123DE"/>
    <w:rsid w:val="00351C32"/>
    <w:rsid w:val="003776F4"/>
    <w:rsid w:val="003A355B"/>
    <w:rsid w:val="003B6725"/>
    <w:rsid w:val="003B7455"/>
    <w:rsid w:val="003D1CEF"/>
    <w:rsid w:val="003D35EE"/>
    <w:rsid w:val="003E42C9"/>
    <w:rsid w:val="004078CB"/>
    <w:rsid w:val="00422752"/>
    <w:rsid w:val="004472E1"/>
    <w:rsid w:val="00447825"/>
    <w:rsid w:val="00454719"/>
    <w:rsid w:val="0049188B"/>
    <w:rsid w:val="004A359B"/>
    <w:rsid w:val="004B2B50"/>
    <w:rsid w:val="004B7BDB"/>
    <w:rsid w:val="004E2A1A"/>
    <w:rsid w:val="00507564"/>
    <w:rsid w:val="00511B1E"/>
    <w:rsid w:val="00517987"/>
    <w:rsid w:val="00536117"/>
    <w:rsid w:val="0055122B"/>
    <w:rsid w:val="005660CD"/>
    <w:rsid w:val="0056627F"/>
    <w:rsid w:val="00581BA6"/>
    <w:rsid w:val="0058252D"/>
    <w:rsid w:val="00590CB1"/>
    <w:rsid w:val="00594595"/>
    <w:rsid w:val="005C1713"/>
    <w:rsid w:val="005E2717"/>
    <w:rsid w:val="005F6742"/>
    <w:rsid w:val="006048FC"/>
    <w:rsid w:val="0062248D"/>
    <w:rsid w:val="0064343C"/>
    <w:rsid w:val="00643F58"/>
    <w:rsid w:val="00657341"/>
    <w:rsid w:val="00682787"/>
    <w:rsid w:val="00682ABC"/>
    <w:rsid w:val="00684674"/>
    <w:rsid w:val="00687233"/>
    <w:rsid w:val="00690C28"/>
    <w:rsid w:val="00690E68"/>
    <w:rsid w:val="006C0351"/>
    <w:rsid w:val="006C2198"/>
    <w:rsid w:val="006C2428"/>
    <w:rsid w:val="006C3905"/>
    <w:rsid w:val="006C6662"/>
    <w:rsid w:val="006D7394"/>
    <w:rsid w:val="006E6108"/>
    <w:rsid w:val="007120CD"/>
    <w:rsid w:val="00714515"/>
    <w:rsid w:val="00714C63"/>
    <w:rsid w:val="0072168F"/>
    <w:rsid w:val="00725C7B"/>
    <w:rsid w:val="00734461"/>
    <w:rsid w:val="0073557B"/>
    <w:rsid w:val="00741720"/>
    <w:rsid w:val="007669C7"/>
    <w:rsid w:val="007820E1"/>
    <w:rsid w:val="00787A0D"/>
    <w:rsid w:val="00790959"/>
    <w:rsid w:val="00791526"/>
    <w:rsid w:val="0079397C"/>
    <w:rsid w:val="007A51AA"/>
    <w:rsid w:val="007A5EA8"/>
    <w:rsid w:val="007B027E"/>
    <w:rsid w:val="007C29B9"/>
    <w:rsid w:val="007C33E7"/>
    <w:rsid w:val="007D028F"/>
    <w:rsid w:val="007D2356"/>
    <w:rsid w:val="00817DDD"/>
    <w:rsid w:val="00835B29"/>
    <w:rsid w:val="00837755"/>
    <w:rsid w:val="00850618"/>
    <w:rsid w:val="00863F41"/>
    <w:rsid w:val="008763B6"/>
    <w:rsid w:val="008866F2"/>
    <w:rsid w:val="008C0E43"/>
    <w:rsid w:val="008C3C79"/>
    <w:rsid w:val="008F111C"/>
    <w:rsid w:val="00901CCD"/>
    <w:rsid w:val="00902156"/>
    <w:rsid w:val="00945CB4"/>
    <w:rsid w:val="0095557E"/>
    <w:rsid w:val="009656C3"/>
    <w:rsid w:val="00972530"/>
    <w:rsid w:val="009729F0"/>
    <w:rsid w:val="00993FE9"/>
    <w:rsid w:val="009D05FD"/>
    <w:rsid w:val="009D72C0"/>
    <w:rsid w:val="009E09D6"/>
    <w:rsid w:val="009E1C8C"/>
    <w:rsid w:val="009E224D"/>
    <w:rsid w:val="00A14663"/>
    <w:rsid w:val="00A273C0"/>
    <w:rsid w:val="00A30281"/>
    <w:rsid w:val="00A45492"/>
    <w:rsid w:val="00A676E5"/>
    <w:rsid w:val="00A71728"/>
    <w:rsid w:val="00A80E93"/>
    <w:rsid w:val="00A95FB6"/>
    <w:rsid w:val="00AC66FC"/>
    <w:rsid w:val="00AF4654"/>
    <w:rsid w:val="00AF5152"/>
    <w:rsid w:val="00B073E0"/>
    <w:rsid w:val="00B14B7B"/>
    <w:rsid w:val="00B27751"/>
    <w:rsid w:val="00B27B4B"/>
    <w:rsid w:val="00B32BD2"/>
    <w:rsid w:val="00B34243"/>
    <w:rsid w:val="00B45D99"/>
    <w:rsid w:val="00B510A0"/>
    <w:rsid w:val="00B63839"/>
    <w:rsid w:val="00B84B31"/>
    <w:rsid w:val="00BA3CCD"/>
    <w:rsid w:val="00BC05AE"/>
    <w:rsid w:val="00BD011C"/>
    <w:rsid w:val="00BE38C1"/>
    <w:rsid w:val="00BE3ADD"/>
    <w:rsid w:val="00BE47E7"/>
    <w:rsid w:val="00BE66EE"/>
    <w:rsid w:val="00C07A92"/>
    <w:rsid w:val="00C122F4"/>
    <w:rsid w:val="00C2464C"/>
    <w:rsid w:val="00C4115A"/>
    <w:rsid w:val="00C44B8D"/>
    <w:rsid w:val="00C51628"/>
    <w:rsid w:val="00C51C73"/>
    <w:rsid w:val="00C61A97"/>
    <w:rsid w:val="00C642DB"/>
    <w:rsid w:val="00C83FF8"/>
    <w:rsid w:val="00C87E9D"/>
    <w:rsid w:val="00C920C6"/>
    <w:rsid w:val="00CC0672"/>
    <w:rsid w:val="00CC421F"/>
    <w:rsid w:val="00CF155A"/>
    <w:rsid w:val="00CF19F4"/>
    <w:rsid w:val="00D050E7"/>
    <w:rsid w:val="00D20247"/>
    <w:rsid w:val="00D44DD0"/>
    <w:rsid w:val="00D51168"/>
    <w:rsid w:val="00D57143"/>
    <w:rsid w:val="00D60B67"/>
    <w:rsid w:val="00D620F4"/>
    <w:rsid w:val="00D77CCF"/>
    <w:rsid w:val="00DA5E86"/>
    <w:rsid w:val="00DB700A"/>
    <w:rsid w:val="00DC0BCF"/>
    <w:rsid w:val="00DD2DE3"/>
    <w:rsid w:val="00DE43DD"/>
    <w:rsid w:val="00DF4E34"/>
    <w:rsid w:val="00E01E8A"/>
    <w:rsid w:val="00E07560"/>
    <w:rsid w:val="00E07CAC"/>
    <w:rsid w:val="00E24C40"/>
    <w:rsid w:val="00E42E5E"/>
    <w:rsid w:val="00E64BFF"/>
    <w:rsid w:val="00E65137"/>
    <w:rsid w:val="00EB76D8"/>
    <w:rsid w:val="00EC1954"/>
    <w:rsid w:val="00EC7654"/>
    <w:rsid w:val="00EC789C"/>
    <w:rsid w:val="00EE3036"/>
    <w:rsid w:val="00EF3B99"/>
    <w:rsid w:val="00F174FF"/>
    <w:rsid w:val="00F24589"/>
    <w:rsid w:val="00F24B41"/>
    <w:rsid w:val="00F26020"/>
    <w:rsid w:val="00F26874"/>
    <w:rsid w:val="00F26DAF"/>
    <w:rsid w:val="00F805B2"/>
    <w:rsid w:val="00F81D5A"/>
    <w:rsid w:val="00F845DD"/>
    <w:rsid w:val="00F90479"/>
    <w:rsid w:val="00FA40D2"/>
    <w:rsid w:val="00FD3B12"/>
    <w:rsid w:val="00FD6C9A"/>
    <w:rsid w:val="00FE44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2"/>
    </o:shapelayout>
  </w:shapeDefaults>
  <w:decimalSymbol w:val=","/>
  <w:listSeparator w:val=";"/>
  <w14:docId w14:val="4F806CF3"/>
  <w15:chartTrackingRefBased/>
  <w15:docId w15:val="{275DB08C-EB9F-4A2C-B158-3C70BABB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5FD"/>
    <w:rPr>
      <w:rFonts w:ascii="Arial" w:hAnsi="Arial"/>
      <w:sz w:val="24"/>
      <w:lang w:eastAsia="fr-FR"/>
    </w:rPr>
  </w:style>
  <w:style w:type="paragraph" w:styleId="Titre1">
    <w:name w:val="heading 1"/>
    <w:basedOn w:val="Normal"/>
    <w:next w:val="Normal"/>
    <w:link w:val="Titre1Car"/>
    <w:autoRedefine/>
    <w:qFormat/>
    <w:rsid w:val="001A637D"/>
    <w:pPr>
      <w:keepNext/>
      <w:outlineLvl w:val="0"/>
    </w:pPr>
    <w:rPr>
      <w:b/>
      <w:kern w:val="28"/>
      <w:lang w:val="x-none"/>
    </w:rPr>
  </w:style>
  <w:style w:type="paragraph" w:styleId="Titre2">
    <w:name w:val="heading 2"/>
    <w:basedOn w:val="Normal"/>
    <w:next w:val="Normal"/>
    <w:qFormat/>
    <w:rsid w:val="001A637D"/>
    <w:pPr>
      <w:keepNext/>
      <w:spacing w:before="80" w:after="80"/>
      <w:outlineLvl w:val="1"/>
    </w:pPr>
    <w:rPr>
      <w:b/>
      <w:sz w:val="22"/>
    </w:rPr>
  </w:style>
  <w:style w:type="paragraph" w:styleId="Titre3">
    <w:name w:val="heading 3"/>
    <w:basedOn w:val="Normal"/>
    <w:next w:val="Normal"/>
    <w:qFormat/>
    <w:pPr>
      <w:keepNext/>
      <w:spacing w:before="240" w:after="60"/>
      <w:outlineLvl w:val="2"/>
    </w:pPr>
    <w:rPr>
      <w:b/>
      <w:sz w:val="26"/>
    </w:rPr>
  </w:style>
  <w:style w:type="paragraph" w:styleId="Titre4">
    <w:name w:val="heading 4"/>
    <w:aliases w:val="(Ctrl+4)"/>
    <w:basedOn w:val="Normal"/>
    <w:next w:val="Normal"/>
    <w:qFormat/>
    <w:pPr>
      <w:keepNext/>
      <w:numPr>
        <w:numId w:val="12"/>
      </w:numPr>
      <w:tabs>
        <w:tab w:val="left" w:pos="360"/>
      </w:tabs>
      <w:spacing w:line="264" w:lineRule="auto"/>
      <w:outlineLvl w:val="3"/>
    </w:pPr>
    <w:rPr>
      <w:b/>
      <w:i/>
    </w:rPr>
  </w:style>
  <w:style w:type="paragraph" w:styleId="Titre5">
    <w:name w:val="heading 5"/>
    <w:aliases w:val="(Ctrl+5)"/>
    <w:basedOn w:val="Normal"/>
    <w:next w:val="Normal"/>
    <w:link w:val="Titre5Car"/>
    <w:qFormat/>
    <w:rsid w:val="00454719"/>
    <w:pPr>
      <w:tabs>
        <w:tab w:val="num" w:pos="1008"/>
      </w:tabs>
      <w:spacing w:before="240" w:after="60"/>
      <w:ind w:left="1008" w:hanging="1008"/>
      <w:jc w:val="both"/>
      <w:outlineLvl w:val="4"/>
    </w:pPr>
    <w:rPr>
      <w:b/>
      <w:bCs/>
      <w:i/>
      <w:iCs/>
      <w:sz w:val="26"/>
      <w:szCs w:val="26"/>
      <w:lang w:eastAsia="en-US"/>
    </w:rPr>
  </w:style>
  <w:style w:type="paragraph" w:styleId="Titre6">
    <w:name w:val="heading 6"/>
    <w:basedOn w:val="Normal"/>
    <w:next w:val="Normal"/>
    <w:link w:val="Titre6Car"/>
    <w:qFormat/>
    <w:rsid w:val="00454719"/>
    <w:pPr>
      <w:tabs>
        <w:tab w:val="num" w:pos="1152"/>
      </w:tabs>
      <w:spacing w:before="240" w:after="60"/>
      <w:ind w:left="1152" w:hanging="1152"/>
      <w:jc w:val="both"/>
      <w:outlineLvl w:val="5"/>
    </w:pPr>
    <w:rPr>
      <w:b/>
      <w:bCs/>
      <w:sz w:val="22"/>
      <w:szCs w:val="22"/>
      <w:lang w:eastAsia="en-US"/>
    </w:rPr>
  </w:style>
  <w:style w:type="paragraph" w:styleId="Titre7">
    <w:name w:val="heading 7"/>
    <w:aliases w:val="(Ctrl+7)"/>
    <w:basedOn w:val="Normal"/>
    <w:next w:val="Normal"/>
    <w:link w:val="Titre7Car"/>
    <w:qFormat/>
    <w:rsid w:val="00454719"/>
    <w:pPr>
      <w:tabs>
        <w:tab w:val="num" w:pos="1296"/>
      </w:tabs>
      <w:spacing w:before="240" w:after="60"/>
      <w:ind w:left="1296" w:hanging="1296"/>
      <w:jc w:val="both"/>
      <w:outlineLvl w:val="6"/>
    </w:pPr>
    <w:rPr>
      <w:szCs w:val="24"/>
      <w:lang w:eastAsia="en-US"/>
    </w:rPr>
  </w:style>
  <w:style w:type="paragraph" w:styleId="Titre8">
    <w:name w:val="heading 8"/>
    <w:basedOn w:val="Normal"/>
    <w:next w:val="Normal"/>
    <w:link w:val="Titre8Car"/>
    <w:qFormat/>
    <w:rsid w:val="00454719"/>
    <w:pPr>
      <w:tabs>
        <w:tab w:val="num" w:pos="1440"/>
      </w:tabs>
      <w:spacing w:before="240" w:after="60"/>
      <w:ind w:left="1440" w:hanging="1440"/>
      <w:jc w:val="both"/>
      <w:outlineLvl w:val="7"/>
    </w:pPr>
    <w:rPr>
      <w:i/>
      <w:iCs/>
      <w:szCs w:val="24"/>
      <w:lang w:eastAsia="en-US"/>
    </w:rPr>
  </w:style>
  <w:style w:type="paragraph" w:styleId="Titre9">
    <w:name w:val="heading 9"/>
    <w:basedOn w:val="Normal"/>
    <w:next w:val="Normal"/>
    <w:link w:val="Titre9Car"/>
    <w:qFormat/>
    <w:rsid w:val="00454719"/>
    <w:pPr>
      <w:tabs>
        <w:tab w:val="num" w:pos="1584"/>
      </w:tabs>
      <w:spacing w:before="240" w:after="60"/>
      <w:ind w:left="1584" w:hanging="1584"/>
      <w:jc w:val="both"/>
      <w:outlineLvl w:val="8"/>
    </w:pPr>
    <w:rPr>
      <w:rFonts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1985" w:hRule="exact" w:hSpace="141" w:wrap="auto" w:hAnchor="page" w:xAlign="center" w:yAlign="bottom"/>
      <w:ind w:left="2835"/>
    </w:pPr>
  </w:style>
  <w:style w:type="paragraph" w:customStyle="1" w:styleId="corpspuce">
    <w:name w:val="corpspuce"/>
    <w:basedOn w:val="Normal"/>
    <w:pPr>
      <w:numPr>
        <w:numId w:val="1"/>
      </w:numPr>
      <w:spacing w:before="60" w:after="240" w:line="264" w:lineRule="auto"/>
      <w:ind w:hanging="58"/>
      <w:jc w:val="both"/>
    </w:pPr>
    <w:rPr>
      <w:i/>
    </w:rPr>
  </w:style>
  <w:style w:type="paragraph" w:customStyle="1" w:styleId="grandtitre">
    <w:name w:val="grand titre"/>
    <w:basedOn w:val="Normal"/>
    <w:pPr>
      <w:keepNext/>
      <w:spacing w:before="480" w:after="120" w:line="264" w:lineRule="auto"/>
      <w:jc w:val="both"/>
    </w:pPr>
    <w:rPr>
      <w:b/>
      <w:i/>
      <w:kern w:val="28"/>
      <w:sz w:val="32"/>
    </w:rPr>
  </w:style>
  <w:style w:type="paragraph" w:customStyle="1" w:styleId="niveau2">
    <w:name w:val="niveau2"/>
    <w:basedOn w:val="Titre2"/>
    <w:pPr>
      <w:numPr>
        <w:numId w:val="2"/>
      </w:numPr>
      <w:spacing w:before="360" w:after="120" w:line="264" w:lineRule="auto"/>
      <w:ind w:left="284" w:hanging="284"/>
      <w:jc w:val="both"/>
      <w:outlineLvl w:val="9"/>
    </w:pPr>
    <w:rPr>
      <w:rFonts w:ascii="Times New Roman" w:hAnsi="Times New Roman"/>
      <w:i/>
      <w:smallCaps/>
      <w:sz w:val="28"/>
    </w:rPr>
  </w:style>
  <w:style w:type="paragraph" w:customStyle="1" w:styleId="Puce">
    <w:name w:val="Puce"/>
    <w:basedOn w:val="Listepuces"/>
    <w:autoRedefine/>
    <w:pPr>
      <w:widowControl w:val="0"/>
      <w:numPr>
        <w:numId w:val="4"/>
      </w:numPr>
      <w:spacing w:before="60" w:after="60" w:line="252" w:lineRule="auto"/>
      <w:ind w:right="58"/>
      <w:jc w:val="both"/>
    </w:pPr>
  </w:style>
  <w:style w:type="paragraph" w:styleId="Listepuces">
    <w:name w:val="List Bullet"/>
    <w:basedOn w:val="Normal"/>
    <w:autoRedefine/>
    <w:pPr>
      <w:numPr>
        <w:numId w:val="3"/>
      </w:numPr>
    </w:pPr>
  </w:style>
  <w:style w:type="paragraph" w:customStyle="1" w:styleId="puce2">
    <w:name w:val="puce2"/>
    <w:basedOn w:val="Puce"/>
    <w:pPr>
      <w:numPr>
        <w:numId w:val="5"/>
      </w:numPr>
    </w:pPr>
  </w:style>
  <w:style w:type="paragraph" w:styleId="Adresseexpditeur">
    <w:name w:val="envelope return"/>
    <w:basedOn w:val="Normal"/>
  </w:style>
  <w:style w:type="paragraph" w:customStyle="1" w:styleId="123">
    <w:name w:val="1.2.3"/>
    <w:rPr>
      <w:snapToGrid w:val="0"/>
      <w:lang w:eastAsia="fr-FR"/>
    </w:rPr>
  </w:style>
  <w:style w:type="paragraph" w:styleId="TM1">
    <w:name w:val="toc 1"/>
    <w:basedOn w:val="Normal"/>
    <w:next w:val="Normal"/>
    <w:autoRedefine/>
    <w:uiPriority w:val="39"/>
  </w:style>
  <w:style w:type="paragraph" w:styleId="TM2">
    <w:name w:val="toc 2"/>
    <w:basedOn w:val="Normal"/>
    <w:next w:val="Normal"/>
    <w:autoRedefine/>
    <w:uiPriority w:val="39"/>
    <w:pPr>
      <w:tabs>
        <w:tab w:val="right" w:leader="dot" w:pos="9350"/>
      </w:tabs>
      <w:ind w:left="432"/>
    </w:pPr>
    <w:rPr>
      <w:noProof/>
    </w:rPr>
  </w:style>
  <w:style w:type="paragraph" w:styleId="TM3">
    <w:name w:val="toc 3"/>
    <w:basedOn w:val="Normal"/>
    <w:next w:val="Normal"/>
    <w:autoRedefine/>
    <w:semiHidden/>
    <w:pPr>
      <w:tabs>
        <w:tab w:val="left" w:pos="720"/>
        <w:tab w:val="right" w:leader="dot" w:pos="9350"/>
      </w:tabs>
      <w:ind w:left="480"/>
    </w:pPr>
    <w:rPr>
      <w:noProof/>
    </w:r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En-tte">
    <w:name w:val="header"/>
    <w:basedOn w:val="Normal"/>
    <w:link w:val="En-tteCar"/>
    <w:pPr>
      <w:tabs>
        <w:tab w:val="center" w:pos="4320"/>
        <w:tab w:val="right" w:pos="8640"/>
      </w:tabs>
    </w:pPr>
    <w:rPr>
      <w:sz w:val="20"/>
      <w:lang w:val="en-US"/>
    </w:rPr>
  </w:style>
  <w:style w:type="paragraph" w:styleId="Pieddepage">
    <w:name w:val="footer"/>
    <w:basedOn w:val="Normal"/>
    <w:link w:val="PieddepageCar"/>
    <w:pPr>
      <w:tabs>
        <w:tab w:val="center" w:pos="4320"/>
        <w:tab w:val="right" w:pos="8640"/>
      </w:tabs>
    </w:pPr>
    <w:rPr>
      <w:sz w:val="20"/>
      <w:lang w:val="en-US"/>
    </w:rPr>
  </w:style>
  <w:style w:type="paragraph" w:styleId="Explorateurdedocuments">
    <w:name w:val="Document Map"/>
    <w:basedOn w:val="Normal"/>
    <w:semiHidden/>
    <w:pPr>
      <w:shd w:val="clear" w:color="auto" w:fill="000080"/>
    </w:pPr>
    <w:rPr>
      <w:rFonts w:ascii="Tahoma" w:hAnsi="Tahoma"/>
    </w:rPr>
  </w:style>
  <w:style w:type="paragraph" w:customStyle="1" w:styleId="body">
    <w:name w:val="body"/>
    <w:rPr>
      <w:snapToGrid w:val="0"/>
      <w:sz w:val="24"/>
      <w:lang w:eastAsia="fr-FR"/>
    </w:rPr>
  </w:style>
  <w:style w:type="paragraph" w:customStyle="1" w:styleId="a">
    <w:name w:val="•"/>
    <w:pPr>
      <w:ind w:left="720"/>
    </w:pPr>
    <w:rPr>
      <w:snapToGrid w:val="0"/>
      <w:sz w:val="24"/>
      <w:lang w:eastAsia="fr-FR"/>
    </w:rPr>
  </w:style>
  <w:style w:type="paragraph" w:customStyle="1" w:styleId="soustitre1">
    <w:name w:val="sous titre 1"/>
    <w:rPr>
      <w:snapToGrid w:val="0"/>
      <w:sz w:val="28"/>
      <w:lang w:eastAsia="fr-FR"/>
    </w:rPr>
  </w:style>
  <w:style w:type="paragraph" w:styleId="Corpsdetexte">
    <w:name w:val="Body Text"/>
    <w:basedOn w:val="Normal"/>
    <w:pPr>
      <w:jc w:val="both"/>
    </w:pPr>
    <w:rPr>
      <w:szCs w:val="24"/>
    </w:rPr>
  </w:style>
  <w:style w:type="character" w:styleId="Lienhypertexte">
    <w:name w:val="Hyperlink"/>
    <w:uiPriority w:val="99"/>
    <w:rPr>
      <w:color w:val="0000FF"/>
      <w:u w:val="single"/>
    </w:rPr>
  </w:style>
  <w:style w:type="paragraph" w:styleId="Textedebulles">
    <w:name w:val="Balloon Text"/>
    <w:basedOn w:val="Normal"/>
    <w:semiHidden/>
    <w:rsid w:val="000269E3"/>
    <w:rPr>
      <w:rFonts w:ascii="Tahoma" w:hAnsi="Tahoma" w:cs="Tahoma"/>
      <w:sz w:val="16"/>
      <w:szCs w:val="16"/>
    </w:rPr>
  </w:style>
  <w:style w:type="character" w:styleId="lev">
    <w:name w:val="Strong"/>
    <w:qFormat/>
    <w:rsid w:val="006C6662"/>
    <w:rPr>
      <w:b/>
      <w:bCs/>
    </w:rPr>
  </w:style>
  <w:style w:type="paragraph" w:styleId="Retraitcorpsdetexte2">
    <w:name w:val="Body Text Indent 2"/>
    <w:basedOn w:val="Normal"/>
    <w:link w:val="Retraitcorpsdetexte2Car"/>
    <w:rsid w:val="006C3905"/>
    <w:pPr>
      <w:spacing w:after="120" w:line="480" w:lineRule="auto"/>
      <w:ind w:left="283"/>
    </w:pPr>
    <w:rPr>
      <w:lang w:val="x-none"/>
    </w:rPr>
  </w:style>
  <w:style w:type="character" w:customStyle="1" w:styleId="Retraitcorpsdetexte2Car">
    <w:name w:val="Retrait corps de texte 2 Car"/>
    <w:link w:val="Retraitcorpsdetexte2"/>
    <w:rsid w:val="006C3905"/>
    <w:rPr>
      <w:sz w:val="24"/>
      <w:lang w:eastAsia="fr-FR"/>
    </w:rPr>
  </w:style>
  <w:style w:type="character" w:customStyle="1" w:styleId="Titre1Car">
    <w:name w:val="Titre 1 Car"/>
    <w:link w:val="Titre1"/>
    <w:rsid w:val="001A637D"/>
    <w:rPr>
      <w:rFonts w:ascii="Arial" w:hAnsi="Arial" w:cs="Arial"/>
      <w:b/>
      <w:kern w:val="28"/>
      <w:sz w:val="24"/>
      <w:lang w:eastAsia="fr-FR"/>
    </w:rPr>
  </w:style>
  <w:style w:type="character" w:styleId="Marquedecommentaire">
    <w:name w:val="annotation reference"/>
    <w:rsid w:val="006C2198"/>
    <w:rPr>
      <w:sz w:val="16"/>
      <w:szCs w:val="16"/>
    </w:rPr>
  </w:style>
  <w:style w:type="paragraph" w:styleId="Commentaire">
    <w:name w:val="annotation text"/>
    <w:basedOn w:val="Normal"/>
    <w:link w:val="CommentaireCar"/>
    <w:rsid w:val="006C2198"/>
    <w:rPr>
      <w:sz w:val="20"/>
      <w:lang w:val="x-none"/>
    </w:rPr>
  </w:style>
  <w:style w:type="character" w:customStyle="1" w:styleId="CommentaireCar">
    <w:name w:val="Commentaire Car"/>
    <w:link w:val="Commentaire"/>
    <w:rsid w:val="006C2198"/>
    <w:rPr>
      <w:lang w:eastAsia="fr-FR"/>
    </w:rPr>
  </w:style>
  <w:style w:type="paragraph" w:styleId="Objetducommentaire">
    <w:name w:val="annotation subject"/>
    <w:basedOn w:val="Commentaire"/>
    <w:next w:val="Commentaire"/>
    <w:link w:val="ObjetducommentaireCar"/>
    <w:rsid w:val="006C2198"/>
    <w:rPr>
      <w:b/>
      <w:bCs/>
    </w:rPr>
  </w:style>
  <w:style w:type="character" w:customStyle="1" w:styleId="ObjetducommentaireCar">
    <w:name w:val="Objet du commentaire Car"/>
    <w:link w:val="Objetducommentaire"/>
    <w:rsid w:val="006C2198"/>
    <w:rPr>
      <w:b/>
      <w:bCs/>
      <w:lang w:eastAsia="fr-FR"/>
    </w:rPr>
  </w:style>
  <w:style w:type="character" w:customStyle="1" w:styleId="En-tteCar">
    <w:name w:val="En-tête Car"/>
    <w:link w:val="En-tte"/>
    <w:rsid w:val="004A359B"/>
    <w:rPr>
      <w:lang w:val="en-US" w:eastAsia="fr-FR"/>
    </w:rPr>
  </w:style>
  <w:style w:type="paragraph" w:styleId="Rvision">
    <w:name w:val="Revision"/>
    <w:hidden/>
    <w:uiPriority w:val="99"/>
    <w:semiHidden/>
    <w:rsid w:val="00AF4654"/>
    <w:rPr>
      <w:sz w:val="24"/>
      <w:lang w:eastAsia="fr-FR"/>
    </w:rPr>
  </w:style>
  <w:style w:type="character" w:customStyle="1" w:styleId="Titre5Car">
    <w:name w:val="Titre 5 Car"/>
    <w:aliases w:val="(Ctrl+5) Car"/>
    <w:link w:val="Titre5"/>
    <w:rsid w:val="00454719"/>
    <w:rPr>
      <w:rFonts w:ascii="Arial" w:hAnsi="Arial"/>
      <w:b/>
      <w:bCs/>
      <w:i/>
      <w:iCs/>
      <w:sz w:val="26"/>
      <w:szCs w:val="26"/>
      <w:lang w:eastAsia="en-US"/>
    </w:rPr>
  </w:style>
  <w:style w:type="character" w:customStyle="1" w:styleId="Titre6Car">
    <w:name w:val="Titre 6 Car"/>
    <w:link w:val="Titre6"/>
    <w:rsid w:val="00454719"/>
    <w:rPr>
      <w:b/>
      <w:bCs/>
      <w:sz w:val="22"/>
      <w:szCs w:val="22"/>
      <w:lang w:eastAsia="en-US"/>
    </w:rPr>
  </w:style>
  <w:style w:type="character" w:customStyle="1" w:styleId="Titre7Car">
    <w:name w:val="Titre 7 Car"/>
    <w:aliases w:val="(Ctrl+7) Car"/>
    <w:link w:val="Titre7"/>
    <w:rsid w:val="00454719"/>
    <w:rPr>
      <w:sz w:val="24"/>
      <w:szCs w:val="24"/>
      <w:lang w:eastAsia="en-US"/>
    </w:rPr>
  </w:style>
  <w:style w:type="character" w:customStyle="1" w:styleId="Titre8Car">
    <w:name w:val="Titre 8 Car"/>
    <w:link w:val="Titre8"/>
    <w:rsid w:val="00454719"/>
    <w:rPr>
      <w:i/>
      <w:iCs/>
      <w:sz w:val="24"/>
      <w:szCs w:val="24"/>
      <w:lang w:eastAsia="en-US"/>
    </w:rPr>
  </w:style>
  <w:style w:type="character" w:customStyle="1" w:styleId="Titre9Car">
    <w:name w:val="Titre 9 Car"/>
    <w:link w:val="Titre9"/>
    <w:rsid w:val="00454719"/>
    <w:rPr>
      <w:rFonts w:ascii="Arial" w:hAnsi="Arial" w:cs="Arial"/>
      <w:sz w:val="22"/>
      <w:szCs w:val="22"/>
      <w:lang w:eastAsia="en-US"/>
    </w:rPr>
  </w:style>
  <w:style w:type="table" w:styleId="Grilledutableau">
    <w:name w:val="Table Grid"/>
    <w:basedOn w:val="TableauNormal"/>
    <w:uiPriority w:val="39"/>
    <w:rsid w:val="0045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45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2E5AAF"/>
    <w:rPr>
      <w:lang w:val="en-US" w:eastAsia="fr-FR"/>
    </w:rPr>
  </w:style>
  <w:style w:type="paragraph" w:styleId="Paragraphedeliste">
    <w:name w:val="List Paragraph"/>
    <w:basedOn w:val="Normal"/>
    <w:uiPriority w:val="34"/>
    <w:qFormat/>
    <w:rsid w:val="009D05FD"/>
    <w:pPr>
      <w:ind w:left="708"/>
      <w:jc w:val="both"/>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cpaquebec.c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E4DB1-5181-403A-BA30-71288993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2589</Words>
  <Characters>14241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Détention de l'automobile</vt:lpstr>
    </vt:vector>
  </TitlesOfParts>
  <Company>Hewlett-Packard Company</Company>
  <LinksUpToDate>false</LinksUpToDate>
  <CharactersWithSpaces>16797</CharactersWithSpaces>
  <SharedDoc>false</SharedDoc>
  <HLinks>
    <vt:vector size="6" baseType="variant">
      <vt:variant>
        <vt:i4>524335</vt:i4>
      </vt:variant>
      <vt:variant>
        <vt:i4>0</vt:i4>
      </vt:variant>
      <vt:variant>
        <vt:i4>0</vt:i4>
      </vt:variant>
      <vt:variant>
        <vt:i4>5</vt:i4>
      </vt:variant>
      <vt:variant>
        <vt:lpwstr>mailto:dp@cpaquebec.ca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Détention de l'automobile</dc:title>
  <dc:subject/>
  <dc:creator>Marjolaine Boutin</dc:creator>
  <cp:keywords/>
  <cp:lastModifiedBy>Carol-Ann Jussaume</cp:lastModifiedBy>
  <cp:revision>14</cp:revision>
  <cp:lastPrinted>2013-10-25T18:39:00Z</cp:lastPrinted>
  <dcterms:created xsi:type="dcterms:W3CDTF">2021-11-12T19:20:00Z</dcterms:created>
  <dcterms:modified xsi:type="dcterms:W3CDTF">2022-12-21T19:08:00Z</dcterms:modified>
</cp:coreProperties>
</file>