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6B663" w14:textId="719E217C" w:rsidR="00987B2F" w:rsidRPr="00415B40" w:rsidRDefault="004F4CC9" w:rsidP="00415B40">
      <w:pPr>
        <w:jc w:val="center"/>
        <w:rPr>
          <w:b/>
          <w:bCs/>
          <w:sz w:val="28"/>
          <w:szCs w:val="28"/>
        </w:rPr>
      </w:pPr>
      <w:r>
        <w:rPr>
          <w:b/>
          <w:bCs/>
          <w:sz w:val="28"/>
          <w:szCs w:val="28"/>
        </w:rPr>
        <w:t>Exemples</w:t>
      </w:r>
      <w:r w:rsidRPr="00415B40">
        <w:rPr>
          <w:b/>
          <w:bCs/>
          <w:sz w:val="28"/>
          <w:szCs w:val="28"/>
        </w:rPr>
        <w:t xml:space="preserve"> </w:t>
      </w:r>
      <w:r w:rsidR="00987B2F" w:rsidRPr="00415B40">
        <w:rPr>
          <w:b/>
          <w:bCs/>
          <w:sz w:val="28"/>
          <w:szCs w:val="28"/>
        </w:rPr>
        <w:t>de Notes</w:t>
      </w:r>
    </w:p>
    <w:p w14:paraId="1FE8F446" w14:textId="03EE3174" w:rsidR="009D10B6" w:rsidRPr="00415B40" w:rsidRDefault="00987B2F" w:rsidP="00415B40">
      <w:pPr>
        <w:jc w:val="center"/>
        <w:rPr>
          <w:b/>
          <w:bCs/>
          <w:sz w:val="28"/>
          <w:szCs w:val="28"/>
        </w:rPr>
      </w:pPr>
      <w:r w:rsidRPr="00415B40">
        <w:rPr>
          <w:b/>
          <w:bCs/>
          <w:sz w:val="28"/>
          <w:szCs w:val="28"/>
        </w:rPr>
        <w:t>31</w:t>
      </w:r>
      <w:r w:rsidR="00900866">
        <w:rPr>
          <w:b/>
          <w:bCs/>
          <w:sz w:val="28"/>
          <w:szCs w:val="28"/>
        </w:rPr>
        <w:t> </w:t>
      </w:r>
      <w:r w:rsidRPr="00415B40">
        <w:rPr>
          <w:b/>
          <w:bCs/>
          <w:sz w:val="28"/>
          <w:szCs w:val="28"/>
        </w:rPr>
        <w:t>décembre 2023</w:t>
      </w:r>
    </w:p>
    <w:p w14:paraId="217C013E" w14:textId="7099CDC7" w:rsidR="00987B2F" w:rsidRDefault="00B46CFB" w:rsidP="00167BD0">
      <w:pPr>
        <w:pBdr>
          <w:top w:val="thinThickThinSmallGap" w:sz="24" w:space="1" w:color="FF0000"/>
          <w:left w:val="thinThickThinSmallGap" w:sz="24" w:space="4" w:color="FF0000"/>
          <w:bottom w:val="thinThickThinSmallGap" w:sz="24" w:space="1" w:color="FF0000"/>
          <w:right w:val="thinThickThinSmallGap" w:sz="24" w:space="4" w:color="FF0000"/>
        </w:pBdr>
        <w:shd w:val="clear" w:color="auto" w:fill="FFCCCC"/>
      </w:pPr>
      <w:r w:rsidRPr="009D7F6C">
        <w:rPr>
          <w:b/>
          <w:bCs/>
          <w:color w:val="FF0000"/>
        </w:rPr>
        <w:t>MISE EN GARDE :</w:t>
      </w:r>
      <w:r w:rsidRPr="00B46CFB">
        <w:rPr>
          <w:color w:val="FF0000"/>
        </w:rPr>
        <w:t xml:space="preserve">  </w:t>
      </w:r>
      <w:r w:rsidR="00E42FE6" w:rsidRPr="009D7F6C">
        <w:rPr>
          <w:b/>
          <w:bCs/>
        </w:rPr>
        <w:t xml:space="preserve">Il est très important de personnaliser les </w:t>
      </w:r>
      <w:r w:rsidR="004F4CC9" w:rsidRPr="009D7F6C">
        <w:rPr>
          <w:b/>
          <w:bCs/>
        </w:rPr>
        <w:t xml:space="preserve">exemples </w:t>
      </w:r>
      <w:r w:rsidR="00E42FE6" w:rsidRPr="009D7F6C">
        <w:rPr>
          <w:b/>
          <w:bCs/>
        </w:rPr>
        <w:t>qui vous sont présentés</w:t>
      </w:r>
      <w:r w:rsidR="00987B2F" w:rsidRPr="009D7F6C">
        <w:rPr>
          <w:b/>
          <w:bCs/>
        </w:rPr>
        <w:t>.</w:t>
      </w:r>
    </w:p>
    <w:p w14:paraId="10F27FB8" w14:textId="1857EC7C" w:rsidR="00B46CFB" w:rsidRPr="000C1D42" w:rsidRDefault="00B46CFB" w:rsidP="000C1D42">
      <w:pPr>
        <w:pStyle w:val="Titre1"/>
      </w:pPr>
      <w:r w:rsidRPr="000C1D42">
        <w:t>Instruments financiers</w:t>
      </w:r>
    </w:p>
    <w:p w14:paraId="47657D8D" w14:textId="3EE505C2" w:rsidR="00B478A5" w:rsidRPr="000C1D42" w:rsidRDefault="000B3DB1" w:rsidP="000C1D42">
      <w:pPr>
        <w:pStyle w:val="Titre2"/>
      </w:pPr>
      <w:r w:rsidRPr="000C1D42">
        <w:t>Note</w:t>
      </w:r>
      <w:r w:rsidR="00900866">
        <w:t> </w:t>
      </w:r>
      <w:r w:rsidRPr="000C1D42">
        <w:t xml:space="preserve">2 </w:t>
      </w:r>
      <w:r w:rsidR="00900866">
        <w:t>—</w:t>
      </w:r>
      <w:r w:rsidR="00D40AB2" w:rsidRPr="000C1D42">
        <w:t xml:space="preserve"> Principales méthodes comptables</w:t>
      </w:r>
    </w:p>
    <w:p w14:paraId="1D2FC2E8" w14:textId="1A189F0C" w:rsidR="00D40AB2" w:rsidRPr="005658C7" w:rsidRDefault="00D40AB2" w:rsidP="005658C7">
      <w:pPr>
        <w:pStyle w:val="Titre3"/>
      </w:pPr>
      <w:r w:rsidRPr="005658C7">
        <w:t>I) Instruments financiers</w:t>
      </w:r>
    </w:p>
    <w:p w14:paraId="1B8E5D19" w14:textId="4ED24FF4" w:rsidR="00B478A5" w:rsidRDefault="00B478A5" w:rsidP="00415B40">
      <w:r w:rsidRPr="00451FC1">
        <w:t xml:space="preserve">Lors de leur comptabilisation initiale, les instruments financiers sont classés soit dans la catégorie des instruments financiers évalués au </w:t>
      </w:r>
      <w:r w:rsidRPr="00B9660E">
        <w:t xml:space="preserve">coût ou au coût après amortissement soit dans celle sur les instruments financiers évalués à la juste valeur. </w:t>
      </w:r>
      <w:r w:rsidRPr="00D4603F">
        <w:t>Les opérations qui ne sont pas de nature contractuelle ne génèrent pas d’éléments considérés comme des instruments financiers.</w:t>
      </w:r>
    </w:p>
    <w:p w14:paraId="00DC759C" w14:textId="2E570F88" w:rsidR="00B478A5" w:rsidRDefault="00B478A5" w:rsidP="00415B40">
      <w:r w:rsidRPr="00451FC1">
        <w:t xml:space="preserve">La trésorerie et les équivalents de trésorerie, les prêts, les placements de portefeuille autres que ceux constitués </w:t>
      </w:r>
      <w:r w:rsidR="005610A9">
        <w:t>de</w:t>
      </w:r>
      <w:r w:rsidRPr="00451FC1">
        <w:t xml:space="preserve"> </w:t>
      </w:r>
      <w:r w:rsidR="00D40AB2">
        <w:t>fond</w:t>
      </w:r>
      <w:r w:rsidR="0061152F">
        <w:t>s</w:t>
      </w:r>
      <w:r w:rsidR="00D40AB2">
        <w:t xml:space="preserve"> commun</w:t>
      </w:r>
      <w:r w:rsidR="005610A9">
        <w:t>s</w:t>
      </w:r>
      <w:r w:rsidR="00D40AB2">
        <w:t xml:space="preserve"> cotés</w:t>
      </w:r>
      <w:r w:rsidRPr="00451FC1">
        <w:t xml:space="preserve"> sur un marché actif, et les autres créances à recevoir </w:t>
      </w:r>
      <w:r w:rsidR="00D40AB2" w:rsidRPr="00762A49">
        <w:rPr>
          <w:b/>
          <w:bCs/>
          <w:i/>
          <w:iCs/>
          <w:color w:val="FF0000"/>
        </w:rPr>
        <w:t xml:space="preserve">[et autres </w:t>
      </w:r>
      <w:r w:rsidR="00D40AB2">
        <w:rPr>
          <w:b/>
          <w:bCs/>
          <w:i/>
          <w:iCs/>
          <w:color w:val="FF0000"/>
        </w:rPr>
        <w:t>actifs</w:t>
      </w:r>
      <w:r w:rsidR="00D40AB2" w:rsidRPr="00762A49">
        <w:rPr>
          <w:b/>
          <w:bCs/>
          <w:i/>
          <w:iCs/>
          <w:color w:val="FF0000"/>
        </w:rPr>
        <w:t xml:space="preserve"> </w:t>
      </w:r>
      <w:r w:rsidR="00D40AB2" w:rsidRPr="00605A56">
        <w:rPr>
          <w:b/>
          <w:bCs/>
          <w:i/>
          <w:iCs/>
          <w:color w:val="FF0000"/>
        </w:rPr>
        <w:t>financiers s’il y a lieu]</w:t>
      </w:r>
      <w:r w:rsidR="00D40AB2" w:rsidRPr="00605A56">
        <w:t xml:space="preserve"> </w:t>
      </w:r>
      <w:r w:rsidRPr="00605A56">
        <w:t xml:space="preserve">sont classés dans la catégorie des actifs financiers évalués au coût ou au coût après amortissement selon la méthode du taux d’intérêt effectif. </w:t>
      </w:r>
      <w:r w:rsidR="00605A56" w:rsidRPr="00600AD9">
        <w:rPr>
          <w:rFonts w:cs="Arial"/>
          <w:color w:val="000000"/>
        </w:rPr>
        <w:t xml:space="preserve">Les débiteurs à l'exception des taxes à la consommation, des taxes et tenant lieu de taxes, les mutations et les amendes et pénalités sont aussi classés dans la catégorie des actifs financiers évalués au coût ou au coût après amortissement selon la méthode du taux d’intérêt effectif. </w:t>
      </w:r>
      <w:r w:rsidRPr="00605A56">
        <w:t>L’emprunt, les créditeurs et charges à payer, à l’exception des taxes à la consommation à payer</w:t>
      </w:r>
      <w:r w:rsidR="00D40AB2">
        <w:t>,</w:t>
      </w:r>
      <w:r>
        <w:t xml:space="preserve"> </w:t>
      </w:r>
      <w:r w:rsidRPr="00451FC1">
        <w:t>des avantages sociaux à payer</w:t>
      </w:r>
      <w:r w:rsidR="00D40AB2">
        <w:t xml:space="preserve"> et</w:t>
      </w:r>
      <w:r w:rsidR="00E3760D">
        <w:t xml:space="preserve"> de</w:t>
      </w:r>
      <w:r w:rsidR="00D40AB2">
        <w:t xml:space="preserve"> la provision pour contestation d’évaluation</w:t>
      </w:r>
      <w:r w:rsidRPr="00451FC1">
        <w:t xml:space="preserve">, </w:t>
      </w:r>
      <w:r w:rsidR="00E3760D">
        <w:t>d</w:t>
      </w:r>
      <w:r w:rsidRPr="00451FC1">
        <w:t xml:space="preserve">es intérêts courus à payer et </w:t>
      </w:r>
      <w:r w:rsidR="00E3760D">
        <w:t>d</w:t>
      </w:r>
      <w:r w:rsidRPr="00451FC1">
        <w:t>es dettes</w:t>
      </w:r>
      <w:r w:rsidR="00D40AB2">
        <w:t xml:space="preserve"> </w:t>
      </w:r>
      <w:r w:rsidR="00D40AB2" w:rsidRPr="00B21F9A">
        <w:rPr>
          <w:b/>
          <w:bCs/>
          <w:i/>
          <w:iCs/>
          <w:color w:val="FF0000"/>
        </w:rPr>
        <w:t>[et autres passifs financiers s’il y a lieu]</w:t>
      </w:r>
      <w:r w:rsidRPr="00451FC1">
        <w:t xml:space="preserve"> sont classés dans la catégorie des passifs financiers évalués au coût ou au coût après amortissement selon la méthode du taux d’intérêt effectif. </w:t>
      </w:r>
    </w:p>
    <w:p w14:paraId="0B683273" w14:textId="462E036F" w:rsidR="00B478A5" w:rsidRDefault="00B478A5" w:rsidP="00415B40">
      <w:r w:rsidRPr="00451FC1">
        <w:t xml:space="preserve">Les placements de portefeuille constitués en </w:t>
      </w:r>
      <w:r w:rsidR="000B3DB1">
        <w:t>fonds commun cotés</w:t>
      </w:r>
      <w:r w:rsidRPr="00451FC1">
        <w:t xml:space="preserve"> sur un marché actif et les instruments financiers dérivés sont classés dans la catégorie des instruments financiers évalués à la juste valeur. </w:t>
      </w:r>
    </w:p>
    <w:p w14:paraId="15873B98" w14:textId="77777777" w:rsidR="00B478A5" w:rsidRDefault="00B478A5" w:rsidP="00415B40">
      <w:r w:rsidRPr="00451FC1">
        <w:t xml:space="preserve">Les variations de la juste valeur sont comptabilisées dans l’état des gains et pertes de réévaluation jusqu’à ce que les instruments financiers évalués à la juste valeur soient </w:t>
      </w:r>
      <w:proofErr w:type="spellStart"/>
      <w:r w:rsidRPr="00451FC1">
        <w:t>décomptabilisés</w:t>
      </w:r>
      <w:proofErr w:type="spellEnd"/>
      <w:r w:rsidRPr="00451FC1">
        <w:t>. À ce moment, le solde cumulé de gains et pertes de réévaluation rattaché à ces instruments est reclassé dans l’état des résultats.</w:t>
      </w:r>
    </w:p>
    <w:p w14:paraId="01165E7B" w14:textId="77777777" w:rsidR="00B478A5" w:rsidRDefault="00B478A5" w:rsidP="00415B40">
      <w:r w:rsidRPr="00451FC1">
        <w:t>Les coûts de transaction sont ajoutés à la valeur comptable des instruments financiers évalués au coût ou au coût après amortissement lors de leur comptabilisation initiale. Toutefois, lors de la comptabilisation initiale des éléments classés dans les instruments financiers évalués à la juste valeur, les coûts de transaction sont passés en charge.</w:t>
      </w:r>
    </w:p>
    <w:p w14:paraId="52335679" w14:textId="39ABD64F" w:rsidR="00B478A5" w:rsidRPr="005658C7" w:rsidRDefault="00B478A5" w:rsidP="005658C7">
      <w:pPr>
        <w:pStyle w:val="Titre4"/>
      </w:pPr>
      <w:bookmarkStart w:id="0" w:name="_Toc118905495"/>
      <w:r w:rsidRPr="005658C7">
        <w:t>Prêts</w:t>
      </w:r>
      <w:bookmarkEnd w:id="0"/>
      <w:r w:rsidRPr="005658C7">
        <w:t xml:space="preserve"> </w:t>
      </w:r>
      <w:r w:rsidR="00115391" w:rsidRPr="005658C7">
        <w:t xml:space="preserve"> </w:t>
      </w:r>
      <w:r w:rsidR="00115391" w:rsidRPr="004F4CC9">
        <w:rPr>
          <w:b/>
          <w:bCs/>
          <w:color w:val="FF0000"/>
        </w:rPr>
        <w:t>(REMPLACE LA MÉTHODE COMPTABLE EXISTANTE SUR LES PRÊTS)</w:t>
      </w:r>
    </w:p>
    <w:p w14:paraId="16893386" w14:textId="77777777" w:rsidR="00B478A5" w:rsidRDefault="00B478A5" w:rsidP="00415B40">
      <w:r w:rsidRPr="00451FC1">
        <w:t>Les prêts, y compris les intérêts courus</w:t>
      </w:r>
      <w:r>
        <w:t xml:space="preserve"> et</w:t>
      </w:r>
      <w:r w:rsidRPr="00451FC1">
        <w:t xml:space="preserve"> à recevoir, sont comptabilisés au coût après amortissement. </w:t>
      </w:r>
      <w:r w:rsidRPr="00430396">
        <w:t>Des évaluations de crédit sont effectuées pour tous les nouveaux emprunteurs. Ultérieurement</w:t>
      </w:r>
      <w:r>
        <w:t>, l</w:t>
      </w:r>
      <w:r w:rsidRPr="00451FC1">
        <w:t xml:space="preserve">orsque des faits ou des circonstances laissent présager une perte, une provision pour moins-value est établie. La réduction de la valeur comptable </w:t>
      </w:r>
      <w:r w:rsidRPr="00451FC1">
        <w:lastRenderedPageBreak/>
        <w:t>alors constatée ainsi que tout changement subséquent sont imputés aux résultats à la provision pour moins-values.</w:t>
      </w:r>
    </w:p>
    <w:p w14:paraId="5D30E185" w14:textId="4FE30758" w:rsidR="00B478A5" w:rsidRDefault="00B478A5" w:rsidP="00415B40">
      <w:r w:rsidRPr="00E3760D">
        <w:t>L’</w:t>
      </w:r>
      <w:r w:rsidR="00D40AB2" w:rsidRPr="00411743">
        <w:t>organisme municipal</w:t>
      </w:r>
      <w:r w:rsidRPr="00982041">
        <w:rPr>
          <w:i/>
        </w:rPr>
        <w:t xml:space="preserve"> </w:t>
      </w:r>
      <w:r>
        <w:t>évalue annuellement l’existence d’une indication objective de dépréciation ou de changement dans l’évaluation de ses prêts. Pour fins d’évaluation de la provision, les prêts sont évalués en fonction de taux de probabilité de défaut par type de prêt, en tenant compte des sûretés.</w:t>
      </w:r>
    </w:p>
    <w:p w14:paraId="77901A04" w14:textId="77777777" w:rsidR="00B478A5" w:rsidRDefault="00B478A5" w:rsidP="00415B40">
      <w:r>
        <w:t>Un prêt est radié lorsque l’emprunteur est en liquidation ou a cessé tout remboursement. L</w:t>
      </w:r>
      <w:r w:rsidRPr="00BB2D05">
        <w:t>es recouvrements</w:t>
      </w:r>
      <w:r>
        <w:t xml:space="preserve"> subséquents </w:t>
      </w:r>
      <w:r w:rsidRPr="00B21E13">
        <w:t>sont inscrits aux revenus de l’exercice</w:t>
      </w:r>
      <w:r>
        <w:t xml:space="preserve"> où ils seront recouvrés.</w:t>
      </w:r>
    </w:p>
    <w:p w14:paraId="6E42F626" w14:textId="3BDE3E06" w:rsidR="00B478A5" w:rsidRPr="00451FC1" w:rsidRDefault="00B478A5" w:rsidP="005658C7">
      <w:pPr>
        <w:pStyle w:val="Titre4"/>
      </w:pPr>
      <w:bookmarkStart w:id="1" w:name="_Toc118905496"/>
      <w:r w:rsidRPr="00451FC1">
        <w:t>Placements de portefeuille</w:t>
      </w:r>
      <w:bookmarkEnd w:id="1"/>
      <w:r w:rsidR="00115391">
        <w:t xml:space="preserve"> </w:t>
      </w:r>
      <w:r w:rsidR="00115391" w:rsidRPr="00B21E13">
        <w:rPr>
          <w:b/>
          <w:bCs/>
          <w:color w:val="FF0000"/>
        </w:rPr>
        <w:t>(REMPLACE LA MÉTHODE COMPTABLE EXISTANTE SUR LES PLACEMENTS DE PORTEFEUILLE)</w:t>
      </w:r>
    </w:p>
    <w:p w14:paraId="19EA02D3" w14:textId="77777777" w:rsidR="00B478A5" w:rsidRDefault="00B478A5" w:rsidP="00415B40">
      <w:r w:rsidRPr="00451FC1">
        <w:t xml:space="preserve">Lorsqu’un placement de portefeuille évalué au coût ou au coût après amortissement subit une moins-value durable, la valeur comptable </w:t>
      </w:r>
      <w:r>
        <w:t>est</w:t>
      </w:r>
      <w:r w:rsidRPr="00451FC1">
        <w:t xml:space="preserve"> réduite pour tenir compte de cette moins-value. La réduction </w:t>
      </w:r>
      <w:r>
        <w:t>de la valeur comptable</w:t>
      </w:r>
      <w:r w:rsidRPr="00451FC1">
        <w:t xml:space="preserve"> est prise en compte dans les résultats de l’exercice et ne </w:t>
      </w:r>
      <w:r>
        <w:t>fait pas</w:t>
      </w:r>
      <w:r w:rsidRPr="00451FC1">
        <w:t xml:space="preserve"> l’objet d’une reprise.</w:t>
      </w:r>
    </w:p>
    <w:p w14:paraId="02D094CF" w14:textId="77777777" w:rsidR="009B1555" w:rsidRDefault="009B1555" w:rsidP="00415B40">
      <w:r w:rsidRPr="005A54CC">
        <w:t xml:space="preserve">Pour déterminer s’il existe une moins-value durable, l’organisme municipal tient notamment compte des facteurs suivants : </w:t>
      </w:r>
    </w:p>
    <w:p w14:paraId="18F4DCCB" w14:textId="0ED105DD" w:rsidR="009B1555" w:rsidRPr="007D6540" w:rsidRDefault="009B1555" w:rsidP="00415B40">
      <w:pPr>
        <w:rPr>
          <w:b/>
          <w:bCs/>
          <w:color w:val="FF0000"/>
        </w:rPr>
      </w:pPr>
      <w:r w:rsidRPr="007D6540">
        <w:rPr>
          <w:b/>
          <w:bCs/>
          <w:color w:val="FF0000"/>
        </w:rPr>
        <w:t>[</w:t>
      </w:r>
      <w:r w:rsidR="00A33528">
        <w:rPr>
          <w:b/>
          <w:bCs/>
          <w:color w:val="FF0000"/>
        </w:rPr>
        <w:t>Exemples</w:t>
      </w:r>
      <w:r w:rsidRPr="007D6540">
        <w:rPr>
          <w:b/>
          <w:bCs/>
          <w:color w:val="FF0000"/>
        </w:rPr>
        <w:t>] </w:t>
      </w:r>
    </w:p>
    <w:p w14:paraId="3974FBC5" w14:textId="77777777" w:rsidR="009B1555" w:rsidRDefault="009B1555" w:rsidP="00415B40">
      <w:pPr>
        <w:pStyle w:val="Paragraphedeliste"/>
        <w:numPr>
          <w:ilvl w:val="0"/>
          <w:numId w:val="4"/>
        </w:numPr>
      </w:pPr>
      <w:r w:rsidRPr="009B1555">
        <w:t>la durée et l’importance de la baisse de la juste valeur par rapport au coût</w:t>
      </w:r>
    </w:p>
    <w:p w14:paraId="21E0AA76" w14:textId="77777777" w:rsidR="009B1555" w:rsidRDefault="009B1555" w:rsidP="00415B40">
      <w:pPr>
        <w:pStyle w:val="Paragraphedeliste"/>
        <w:numPr>
          <w:ilvl w:val="0"/>
          <w:numId w:val="4"/>
        </w:numPr>
      </w:pPr>
      <w:r w:rsidRPr="009B1555">
        <w:t xml:space="preserve">les jugements d’experts et d’approches fondées sur des modèles tenant compte des conditions économiques actuelles, </w:t>
      </w:r>
    </w:p>
    <w:p w14:paraId="7BEFE588" w14:textId="45C7ED1F" w:rsidR="009B1555" w:rsidRPr="009B1555" w:rsidRDefault="009B1555" w:rsidP="00415B40">
      <w:pPr>
        <w:pStyle w:val="Paragraphedeliste"/>
        <w:numPr>
          <w:ilvl w:val="0"/>
          <w:numId w:val="4"/>
        </w:numPr>
      </w:pPr>
      <w:r w:rsidRPr="009B1555">
        <w:t>la situation financière et les perspectives de rentabilité propres aux entités émettrices.</w:t>
      </w:r>
    </w:p>
    <w:p w14:paraId="1AD46D98" w14:textId="5DCB2B6D" w:rsidR="00B478A5" w:rsidRPr="00430396" w:rsidRDefault="00B478A5" w:rsidP="00415B40">
      <w:r w:rsidRPr="00430396">
        <w:t xml:space="preserve">Lorsque la valeur comptable d’un placement de portefeuille constitué </w:t>
      </w:r>
      <w:r w:rsidR="00FA0CB1">
        <w:t>de</w:t>
      </w:r>
      <w:r w:rsidRPr="00430396">
        <w:t xml:space="preserve"> </w:t>
      </w:r>
      <w:r w:rsidR="009B1555">
        <w:t>fonds commun</w:t>
      </w:r>
      <w:r w:rsidR="00EC2139">
        <w:t>s</w:t>
      </w:r>
      <w:r w:rsidR="009B1555" w:rsidRPr="00430396">
        <w:t xml:space="preserve"> </w:t>
      </w:r>
      <w:r w:rsidRPr="00430396">
        <w:t xml:space="preserve">cotés sur un marché actif a été réduite pour tenir compte d’une moins-value durable, le solde cumulé des pertes non réalisées comptabilisé à l’état des gains et pertes de réévaluation est reclassé à l’état des résultats. </w:t>
      </w:r>
    </w:p>
    <w:p w14:paraId="627D16B1" w14:textId="7CAC39A8" w:rsidR="00B478A5" w:rsidRDefault="00B478A5" w:rsidP="005658C7">
      <w:pPr>
        <w:pStyle w:val="Titre4"/>
      </w:pPr>
      <w:bookmarkStart w:id="2" w:name="_Toc118905497"/>
      <w:r w:rsidRPr="00AD0C1E">
        <w:t>Dérivés</w:t>
      </w:r>
      <w:bookmarkEnd w:id="2"/>
      <w:r w:rsidRPr="00AD0C1E">
        <w:t xml:space="preserve"> </w:t>
      </w:r>
      <w:r w:rsidR="009B1555" w:rsidRPr="00B21F9A">
        <w:t>(</w:t>
      </w:r>
      <w:r w:rsidR="00265678" w:rsidRPr="00265678">
        <w:t>SI APPLICABLE</w:t>
      </w:r>
      <w:r w:rsidR="009B1555" w:rsidRPr="00B21F9A">
        <w:t>)</w:t>
      </w:r>
    </w:p>
    <w:p w14:paraId="0A9A2F13" w14:textId="49DDA650" w:rsidR="009B1555" w:rsidRPr="00265678" w:rsidRDefault="009B1555" w:rsidP="00415B40">
      <w:pPr>
        <w:rPr>
          <w:i/>
          <w:iCs/>
          <w:color w:val="FF0000"/>
        </w:rPr>
      </w:pPr>
      <w:r w:rsidRPr="00265678">
        <w:rPr>
          <w:i/>
          <w:iCs/>
          <w:color w:val="FF0000"/>
        </w:rPr>
        <w:t>Exemple pour les sociétés de transport</w:t>
      </w:r>
    </w:p>
    <w:p w14:paraId="73DC6029" w14:textId="77A49D2B" w:rsidR="00B478A5" w:rsidRDefault="002B2A6C" w:rsidP="00A0661A">
      <w:r>
        <w:t>L’organisme municipal</w:t>
      </w:r>
      <w:r w:rsidR="00B478A5" w:rsidRPr="00430396">
        <w:t xml:space="preserve"> a recours à des instruments financiers dérivés, notamment des</w:t>
      </w:r>
      <w:r w:rsidR="007A7BAA">
        <w:t xml:space="preserve"> swaps de marchandises</w:t>
      </w:r>
      <w:r w:rsidR="00B478A5" w:rsidRPr="00430396">
        <w:t>, pour réduire le risque lié aux fluctuations d</w:t>
      </w:r>
      <w:r w:rsidR="009B1555">
        <w:t>u prix du carburant</w:t>
      </w:r>
      <w:r w:rsidR="004E6888">
        <w:t>.</w:t>
      </w:r>
      <w:r w:rsidR="00B478A5" w:rsidRPr="00430396">
        <w:t xml:space="preserve"> La politique de l’</w:t>
      </w:r>
      <w:r w:rsidR="004E6888">
        <w:t xml:space="preserve">organisme municipal </w:t>
      </w:r>
      <w:r w:rsidR="00B478A5" w:rsidRPr="00430396">
        <w:t>consiste à ne pas utiliser d’instruments financiers dérivés à des fins de spéculation.</w:t>
      </w:r>
    </w:p>
    <w:p w14:paraId="6861F942" w14:textId="77777777" w:rsidR="00B478A5" w:rsidRPr="00451FC1" w:rsidRDefault="00B478A5" w:rsidP="005658C7">
      <w:pPr>
        <w:pStyle w:val="Titre4"/>
      </w:pPr>
      <w:bookmarkStart w:id="3" w:name="_Toc118905498"/>
      <w:r w:rsidRPr="00451FC1">
        <w:t>Hiérarchie des évaluations à la juste valeur</w:t>
      </w:r>
      <w:bookmarkEnd w:id="3"/>
    </w:p>
    <w:p w14:paraId="11A43644" w14:textId="1E831BD4" w:rsidR="00B478A5" w:rsidRPr="00451FC1" w:rsidRDefault="00B478A5" w:rsidP="00A0661A">
      <w:r w:rsidRPr="00451FC1">
        <w:t xml:space="preserve">Les instruments financiers comptabilisés à la juste valeur à l’état de la situation financière sont classés selon une hiérarchie qui reflète l’importance des données utilisées pour effectuer les évaluations. La hiérarchie qui s’applique dans le cadre de la détermination de la juste valeur exige l’utilisation de données observables sur le marché chaque fois que de telles données existent. Un instrument financier pour lequel une donnée importante non observable a été prise en compte dans l’évaluation de la juste valeur est </w:t>
      </w:r>
      <w:r w:rsidRPr="00451FC1">
        <w:lastRenderedPageBreak/>
        <w:t>classé au niveau le plus bas de la hiérarchie. La hiérarchie des évaluations à la juste valeur se compose de</w:t>
      </w:r>
      <w:r w:rsidR="005E7889">
        <w:t>s</w:t>
      </w:r>
      <w:r w:rsidRPr="00451FC1">
        <w:t xml:space="preserve"> niveaux suivants</w:t>
      </w:r>
      <w:r w:rsidR="004E6888">
        <w:t> </w:t>
      </w:r>
      <w:r w:rsidRPr="00451FC1">
        <w:t>:</w:t>
      </w:r>
    </w:p>
    <w:p w14:paraId="63C287A6" w14:textId="77777777" w:rsidR="00B478A5" w:rsidRPr="00451FC1" w:rsidRDefault="00B478A5" w:rsidP="00A0661A">
      <w:r w:rsidRPr="00451FC1">
        <w:t>Niveau</w:t>
      </w:r>
      <w:r>
        <w:t> </w:t>
      </w:r>
      <w:r w:rsidRPr="00451FC1">
        <w:t>1</w:t>
      </w:r>
    </w:p>
    <w:p w14:paraId="38DAC6F1" w14:textId="77777777" w:rsidR="00B478A5" w:rsidRPr="00451FC1" w:rsidRDefault="00B478A5" w:rsidP="00A0661A">
      <w:r w:rsidRPr="00451FC1">
        <w:t>Le calcul de la juste valeur de l’instrument repose sur les prix (non ajustés) cotés sur des marchés actifs pour des actifs ou passifs identiques.</w:t>
      </w:r>
    </w:p>
    <w:p w14:paraId="3C0EEB03" w14:textId="77777777" w:rsidR="00B478A5" w:rsidRPr="00451FC1" w:rsidRDefault="00B478A5" w:rsidP="00A0661A">
      <w:r w:rsidRPr="00451FC1">
        <w:t>Niveau</w:t>
      </w:r>
      <w:r>
        <w:t> </w:t>
      </w:r>
      <w:r w:rsidRPr="00451FC1">
        <w:t>2</w:t>
      </w:r>
    </w:p>
    <w:p w14:paraId="235A954D" w14:textId="77777777" w:rsidR="00B478A5" w:rsidRPr="00451FC1" w:rsidRDefault="00B478A5" w:rsidP="00A0661A">
      <w:r w:rsidRPr="00451FC1">
        <w:t>Le calcul de la juste valeur de l’instrument repose sur des données autres que les prix cotés visés au niveau</w:t>
      </w:r>
      <w:r>
        <w:t> </w:t>
      </w:r>
      <w:r w:rsidRPr="00451FC1">
        <w:t xml:space="preserve">1, qui sont observables soit directement (sous forme de prix) ou indirectement (déterminés à partir de prix). </w:t>
      </w:r>
    </w:p>
    <w:p w14:paraId="651E8230" w14:textId="77777777" w:rsidR="00B478A5" w:rsidRPr="00451FC1" w:rsidRDefault="00B478A5" w:rsidP="00A0661A">
      <w:r w:rsidRPr="00451FC1">
        <w:t>Niveau</w:t>
      </w:r>
      <w:r>
        <w:t> </w:t>
      </w:r>
      <w:r w:rsidRPr="00451FC1">
        <w:t>3</w:t>
      </w:r>
    </w:p>
    <w:p w14:paraId="5E7555C2" w14:textId="77777777" w:rsidR="00B478A5" w:rsidRPr="00451FC1" w:rsidRDefault="00B478A5" w:rsidP="00A0661A">
      <w:r w:rsidRPr="00451FC1">
        <w:t xml:space="preserve">Le calcul de la juste valeur de l’instrument repose sur des données qui ne sont pas fondées sur des données de marché observables (données non observables). </w:t>
      </w:r>
    </w:p>
    <w:p w14:paraId="22AB2C28" w14:textId="77777777" w:rsidR="004E6888" w:rsidRDefault="004E6888" w:rsidP="005658C7">
      <w:pPr>
        <w:pStyle w:val="Titre3"/>
      </w:pPr>
      <w:bookmarkStart w:id="4" w:name="_Toc118905508"/>
      <w:r>
        <w:t>J) Autres éléments</w:t>
      </w:r>
    </w:p>
    <w:p w14:paraId="69C65A6C" w14:textId="7D29A4A0" w:rsidR="004E6888" w:rsidRPr="00B21F9A" w:rsidRDefault="004E6888" w:rsidP="00415B40">
      <w:r w:rsidRPr="005658C7">
        <w:rPr>
          <w:rStyle w:val="Titre4Car"/>
        </w:rPr>
        <w:t>Conversion des devises</w:t>
      </w:r>
      <w:bookmarkEnd w:id="4"/>
      <w:r w:rsidR="00115391">
        <w:t xml:space="preserve"> </w:t>
      </w:r>
      <w:r w:rsidR="00115391" w:rsidRPr="00B21F9A">
        <w:rPr>
          <w:color w:val="FF0000"/>
        </w:rPr>
        <w:t>(SI APPLICABLE)</w:t>
      </w:r>
    </w:p>
    <w:p w14:paraId="7987E04F" w14:textId="377AFCA6" w:rsidR="004E6888" w:rsidRPr="005658C7" w:rsidRDefault="004E6888" w:rsidP="00415B40">
      <w:pPr>
        <w:rPr>
          <w:i/>
          <w:iCs/>
          <w:color w:val="FF0000"/>
        </w:rPr>
      </w:pPr>
      <w:r w:rsidRPr="005658C7">
        <w:rPr>
          <w:i/>
          <w:iCs/>
          <w:color w:val="FF0000"/>
        </w:rPr>
        <w:t>Exemple</w:t>
      </w:r>
      <w:r w:rsidR="00900866">
        <w:rPr>
          <w:i/>
          <w:iCs/>
          <w:color w:val="FF0000"/>
        </w:rPr>
        <w:t> </w:t>
      </w:r>
      <w:r w:rsidRPr="005658C7">
        <w:rPr>
          <w:i/>
          <w:iCs/>
          <w:color w:val="FF0000"/>
        </w:rPr>
        <w:t>1 : comptabilisation des gains et pertes de change à l’état des gains et pertes de réévaluation</w:t>
      </w:r>
    </w:p>
    <w:p w14:paraId="6CB5394C" w14:textId="77777777" w:rsidR="004E6888" w:rsidRDefault="004E6888" w:rsidP="00415B40">
      <w:r>
        <w:t>Les actifs, les passifs et les montants présentés dans l’état des résultats découlant d’une opération en devises sont convertis en dollars canadiens au cours de change de la date de l’opération.</w:t>
      </w:r>
    </w:p>
    <w:p w14:paraId="3BCE4FB1" w14:textId="321BC04B" w:rsidR="004E6888" w:rsidRDefault="004E6888" w:rsidP="00415B40">
      <w:r>
        <w:t xml:space="preserve">Les actifs et les passifs monétaires ainsi que les éléments non monétaires évalués à la juste valeur, libellés en devises, sont convertis en dollars canadiens au cours de change en vigueur à la date des états financiers. Les fluctuations du cours de change donnent lieu à des gains ou des pertes de change non réalisés qui sont comptabilisés jusqu’à la date de règlement dans l’état des gains et pertes de réévaluation. À ce moment, le solde cumulé des gains et pertes de change non réalisés est reclassé à l’état des résultats. </w:t>
      </w:r>
    </w:p>
    <w:p w14:paraId="74D4166F" w14:textId="043B34C4" w:rsidR="004E6888" w:rsidRPr="005658C7" w:rsidRDefault="004E6888" w:rsidP="00415B40">
      <w:pPr>
        <w:rPr>
          <w:i/>
          <w:iCs/>
          <w:color w:val="FF0000"/>
        </w:rPr>
      </w:pPr>
      <w:r w:rsidRPr="005658C7">
        <w:rPr>
          <w:i/>
          <w:iCs/>
          <w:color w:val="FF0000"/>
        </w:rPr>
        <w:t>Exemple</w:t>
      </w:r>
      <w:r w:rsidR="00900866">
        <w:rPr>
          <w:i/>
          <w:iCs/>
          <w:color w:val="FF0000"/>
        </w:rPr>
        <w:t> </w:t>
      </w:r>
      <w:r w:rsidRPr="005658C7">
        <w:rPr>
          <w:i/>
          <w:iCs/>
          <w:color w:val="FF0000"/>
        </w:rPr>
        <w:t>2 : choix irrévocable de comptabiliser les gains et pertes de change à l’état des résultats</w:t>
      </w:r>
    </w:p>
    <w:p w14:paraId="076D9810" w14:textId="77777777" w:rsidR="004E6888" w:rsidRDefault="004E6888" w:rsidP="00415B40">
      <w:r>
        <w:t>Les actifs, les passifs et les montants présentés dans l’état des résultats découlant d’une opération en devises sont convertis en dollars canadiens au cours de change de la date de l’opération.</w:t>
      </w:r>
    </w:p>
    <w:p w14:paraId="551543F7" w14:textId="6DACBA89" w:rsidR="004E6888" w:rsidRDefault="004E6888" w:rsidP="00415B40">
      <w:r>
        <w:t xml:space="preserve">Les actifs et les passifs monétaires ainsi que les éléments non monétaires évalués à la juste valeur, libellés en devises, sont convertis en dollars canadiens au cours de change en vigueur à la date des états financiers. Les fluctuations du cours de change donnent lieu à des gains ou des pertes de change non réalisés que l’entité a choisi de comptabiliser directement dans l’état des résultats, y compris les gains et pertes de change qui surviennent avant la </w:t>
      </w:r>
      <w:proofErr w:type="spellStart"/>
      <w:r>
        <w:t>décomptabilisation</w:t>
      </w:r>
      <w:proofErr w:type="spellEnd"/>
      <w:r>
        <w:t xml:space="preserve"> ou le règlement. </w:t>
      </w:r>
    </w:p>
    <w:p w14:paraId="6B253E73" w14:textId="210B5A6C" w:rsidR="004E6888" w:rsidRDefault="004E6888" w:rsidP="000C1D42">
      <w:pPr>
        <w:pStyle w:val="Titre2"/>
      </w:pPr>
      <w:r>
        <w:t>Note</w:t>
      </w:r>
      <w:r w:rsidR="00900866">
        <w:t> </w:t>
      </w:r>
      <w:r>
        <w:t xml:space="preserve">3 </w:t>
      </w:r>
      <w:r w:rsidR="00900866">
        <w:t>—</w:t>
      </w:r>
      <w:r>
        <w:t xml:space="preserve"> Modifications de méthodes comptables</w:t>
      </w:r>
    </w:p>
    <w:p w14:paraId="7F2D82EA" w14:textId="193C4049" w:rsidR="00B478A5" w:rsidRPr="00B21F9A" w:rsidRDefault="00B478A5" w:rsidP="005658C7">
      <w:pPr>
        <w:pStyle w:val="Titre3"/>
      </w:pPr>
      <w:r w:rsidRPr="00B21F9A">
        <w:t xml:space="preserve">Adoption initiale </w:t>
      </w:r>
      <w:r w:rsidR="00900866">
        <w:t>—</w:t>
      </w:r>
      <w:r w:rsidRPr="00B21F9A">
        <w:t xml:space="preserve"> instruments financiers (chapitres SP</w:t>
      </w:r>
      <w:r w:rsidR="00900866">
        <w:t> </w:t>
      </w:r>
      <w:r w:rsidRPr="00B21F9A">
        <w:t>3450, SP</w:t>
      </w:r>
      <w:r w:rsidR="00900866">
        <w:t> </w:t>
      </w:r>
      <w:r w:rsidRPr="00B21F9A">
        <w:t>3041, SP</w:t>
      </w:r>
      <w:r w:rsidR="00900866">
        <w:t> </w:t>
      </w:r>
      <w:r w:rsidRPr="00B21F9A">
        <w:t>2601 et SP</w:t>
      </w:r>
      <w:r w:rsidR="00900866">
        <w:t> </w:t>
      </w:r>
      <w:r w:rsidRPr="00B21F9A">
        <w:t>1201)</w:t>
      </w:r>
    </w:p>
    <w:p w14:paraId="10043662" w14:textId="2324FB57" w:rsidR="00B478A5" w:rsidRDefault="00B478A5" w:rsidP="00415B40">
      <w:r w:rsidRPr="007A5EE0">
        <w:t xml:space="preserve">À compter du présent exercice, </w:t>
      </w:r>
      <w:r w:rsidR="002B2A6C">
        <w:t>l’organisme mun</w:t>
      </w:r>
      <w:r w:rsidR="004E6888">
        <w:t>i</w:t>
      </w:r>
      <w:r w:rsidR="002B2A6C">
        <w:t>cipal</w:t>
      </w:r>
      <w:r w:rsidRPr="007A5EE0">
        <w:t xml:space="preserve"> a adopté l</w:t>
      </w:r>
      <w:r>
        <w:t xml:space="preserve">es exigences des chapitres SP 3450, </w:t>
      </w:r>
      <w:r w:rsidRPr="000C1D42">
        <w:rPr>
          <w:i/>
          <w:iCs/>
        </w:rPr>
        <w:t>Instruments financiers</w:t>
      </w:r>
      <w:r>
        <w:rPr>
          <w:iCs/>
        </w:rPr>
        <w:t xml:space="preserve">, </w:t>
      </w:r>
      <w:r>
        <w:t xml:space="preserve">SP 3041, </w:t>
      </w:r>
      <w:r w:rsidRPr="000C1D42">
        <w:rPr>
          <w:i/>
          <w:iCs/>
        </w:rPr>
        <w:t>Placements de portefeuille</w:t>
      </w:r>
      <w:r>
        <w:rPr>
          <w:iCs/>
        </w:rPr>
        <w:t xml:space="preserve">, </w:t>
      </w:r>
      <w:r>
        <w:t xml:space="preserve">SP 2601, </w:t>
      </w:r>
      <w:r w:rsidRPr="000C1D42">
        <w:rPr>
          <w:i/>
          <w:iCs/>
        </w:rPr>
        <w:t>Conversion des devises</w:t>
      </w:r>
      <w:r>
        <w:t xml:space="preserve"> et SP 1201, </w:t>
      </w:r>
      <w:r w:rsidRPr="000C1D42">
        <w:rPr>
          <w:i/>
          <w:iCs/>
        </w:rPr>
        <w:t>Présentation des états financiers</w:t>
      </w:r>
      <w:r>
        <w:t xml:space="preserve">, </w:t>
      </w:r>
      <w:r w:rsidRPr="004F50AD">
        <w:t xml:space="preserve">du </w:t>
      </w:r>
      <w:r w:rsidRPr="000C1D42">
        <w:rPr>
          <w:i/>
          <w:iCs/>
        </w:rPr>
        <w:lastRenderedPageBreak/>
        <w:t>Manuel de comptabilité de CPA Canada pour le secteur public</w:t>
      </w:r>
      <w:r>
        <w:t>, applicables aux exercices ouverts à compter du 1</w:t>
      </w:r>
      <w:r w:rsidRPr="006E2E05">
        <w:rPr>
          <w:vertAlign w:val="superscript"/>
        </w:rPr>
        <w:t>er</w:t>
      </w:r>
      <w:r>
        <w:t> avril 2022</w:t>
      </w:r>
      <w:r w:rsidRPr="007A5EE0">
        <w:t xml:space="preserve">. </w:t>
      </w:r>
      <w:r>
        <w:t>Le chapitre SP 3450</w:t>
      </w:r>
      <w:r w:rsidRPr="007A5EE0">
        <w:t xml:space="preserve"> comprend des exigences relatives à la constatation, à la mesure et à la présentation des instruments financiers</w:t>
      </w:r>
      <w:r>
        <w:t>, notamment par la constatation à la juste valeur plutôt qu’au coût de certains instruments.</w:t>
      </w:r>
      <w:r w:rsidRPr="007A5EE0">
        <w:t xml:space="preserve"> </w:t>
      </w:r>
      <w:r>
        <w:t xml:space="preserve">Cette norme </w:t>
      </w:r>
      <w:r w:rsidRPr="007A5EE0">
        <w:t>comprend également de nouvelles exigences importantes en ce qui concerne l’information à fournir aux états financiers</w:t>
      </w:r>
      <w:r>
        <w:t>, notamment sur les risques découlant des instruments financiers.</w:t>
      </w:r>
      <w:r w:rsidRPr="007A5EE0">
        <w:t xml:space="preserve"> </w:t>
      </w:r>
    </w:p>
    <w:p w14:paraId="7F905A89" w14:textId="72B831CD" w:rsidR="00B478A5" w:rsidRPr="007A5EE0" w:rsidRDefault="00B478A5" w:rsidP="00415B40">
      <w:r w:rsidRPr="007A5EE0">
        <w:t xml:space="preserve">Les effets sur les états financiers de </w:t>
      </w:r>
      <w:r w:rsidR="002B2A6C" w:rsidRPr="006C6E3C">
        <w:t>l</w:t>
      </w:r>
      <w:r w:rsidR="002B2A6C" w:rsidRPr="000E4935">
        <w:t>’organisme mun</w:t>
      </w:r>
      <w:r w:rsidR="004E6888" w:rsidRPr="000E4935">
        <w:t>i</w:t>
      </w:r>
      <w:r w:rsidR="002B2A6C" w:rsidRPr="000E4935">
        <w:t>cipal</w:t>
      </w:r>
      <w:r w:rsidR="002B2A6C" w:rsidRPr="007A5EE0">
        <w:rPr>
          <w:i/>
        </w:rPr>
        <w:t xml:space="preserve"> </w:t>
      </w:r>
      <w:r w:rsidRPr="007A5EE0">
        <w:t xml:space="preserve">portent principalement sur </w:t>
      </w:r>
      <w:r>
        <w:t>s</w:t>
      </w:r>
      <w:r w:rsidRPr="007A5EE0">
        <w:t xml:space="preserve">es prêts, </w:t>
      </w:r>
      <w:r>
        <w:t xml:space="preserve">ses </w:t>
      </w:r>
      <w:r w:rsidRPr="007A5EE0">
        <w:t xml:space="preserve">placements et </w:t>
      </w:r>
      <w:r>
        <w:t>s</w:t>
      </w:r>
      <w:r w:rsidRPr="007A5EE0">
        <w:t>a dette à long terme</w:t>
      </w:r>
      <w:r>
        <w:t xml:space="preserve"> ainsi que sur les éléments de ses résultats, gains et pertes de réévaluation en découlant.</w:t>
      </w:r>
    </w:p>
    <w:p w14:paraId="507ADF7B" w14:textId="1F5B8C0C" w:rsidR="00B478A5" w:rsidRPr="007A5EE0" w:rsidRDefault="00B478A5" w:rsidP="00415B40">
      <w:r>
        <w:t>Ces nouvelles exigences ont été</w:t>
      </w:r>
      <w:r w:rsidRPr="007A5EE0">
        <w:t xml:space="preserve"> appliquée</w:t>
      </w:r>
      <w:r>
        <w:t>s</w:t>
      </w:r>
      <w:r w:rsidRPr="007A5EE0">
        <w:t xml:space="preserve"> de façon prospective. Ainsi, il n’y a eu aucun retraitement des états financiers de l’exercice antérieur. Ceci a eu pour effet d’augmenter (de diminuer) les postes suivants des états financiers</w:t>
      </w:r>
      <w:r w:rsidR="004E6888">
        <w:t> </w:t>
      </w:r>
      <w:r>
        <w:t>:</w:t>
      </w:r>
      <w:r w:rsidRPr="007A5EE0">
        <w:t xml:space="preserve"> </w:t>
      </w:r>
    </w:p>
    <w:tbl>
      <w:tblPr>
        <w:tblW w:w="8505" w:type="dxa"/>
        <w:tblInd w:w="108" w:type="dxa"/>
        <w:tblLayout w:type="fixed"/>
        <w:tblLook w:val="01E0" w:firstRow="1" w:lastRow="1" w:firstColumn="1" w:lastColumn="1" w:noHBand="0" w:noVBand="0"/>
      </w:tblPr>
      <w:tblGrid>
        <w:gridCol w:w="5670"/>
        <w:gridCol w:w="2835"/>
      </w:tblGrid>
      <w:tr w:rsidR="00B478A5" w:rsidRPr="007A5EE0" w14:paraId="2CC899E2" w14:textId="77777777" w:rsidTr="005117F9">
        <w:trPr>
          <w:trHeight w:val="323"/>
        </w:trPr>
        <w:tc>
          <w:tcPr>
            <w:tcW w:w="5670" w:type="dxa"/>
            <w:tcBorders>
              <w:top w:val="single" w:sz="4" w:space="0" w:color="auto"/>
              <w:left w:val="nil"/>
              <w:bottom w:val="single" w:sz="4" w:space="0" w:color="auto"/>
              <w:right w:val="nil"/>
            </w:tcBorders>
            <w:shd w:val="clear" w:color="auto" w:fill="E6E6E6"/>
            <w:vAlign w:val="bottom"/>
          </w:tcPr>
          <w:p w14:paraId="628C4260" w14:textId="77777777" w:rsidR="00B478A5" w:rsidRPr="007A5EE0" w:rsidRDefault="00B478A5" w:rsidP="00415B40">
            <w:pPr>
              <w:pStyle w:val="Normaltableau"/>
            </w:pPr>
            <w:r>
              <w:t>Postes des états financiers</w:t>
            </w:r>
          </w:p>
        </w:tc>
        <w:tc>
          <w:tcPr>
            <w:tcW w:w="2835" w:type="dxa"/>
            <w:tcBorders>
              <w:top w:val="single" w:sz="4" w:space="0" w:color="auto"/>
              <w:left w:val="nil"/>
              <w:bottom w:val="single" w:sz="4" w:space="0" w:color="auto"/>
              <w:right w:val="nil"/>
            </w:tcBorders>
            <w:shd w:val="clear" w:color="auto" w:fill="E6E6E6"/>
            <w:vAlign w:val="bottom"/>
          </w:tcPr>
          <w:p w14:paraId="39DB4A92" w14:textId="77777777" w:rsidR="00B478A5" w:rsidRPr="007A5EE0" w:rsidRDefault="00B478A5" w:rsidP="00415B40">
            <w:pPr>
              <w:pStyle w:val="chiffrestableau"/>
            </w:pPr>
            <w:r w:rsidRPr="007A5EE0">
              <w:t>20X2 </w:t>
            </w:r>
          </w:p>
        </w:tc>
      </w:tr>
      <w:tr w:rsidR="00B478A5" w:rsidRPr="007A5EE0" w14:paraId="462E8BE2" w14:textId="77777777" w:rsidTr="005117F9">
        <w:trPr>
          <w:trHeight w:val="347"/>
        </w:trPr>
        <w:tc>
          <w:tcPr>
            <w:tcW w:w="5670" w:type="dxa"/>
            <w:tcBorders>
              <w:top w:val="single" w:sz="4" w:space="0" w:color="auto"/>
              <w:left w:val="nil"/>
              <w:right w:val="nil"/>
            </w:tcBorders>
            <w:vAlign w:val="bottom"/>
          </w:tcPr>
          <w:p w14:paraId="26C43A96" w14:textId="77777777" w:rsidR="00B478A5" w:rsidRPr="007A5EE0" w:rsidRDefault="00B478A5" w:rsidP="00415B40">
            <w:pPr>
              <w:pStyle w:val="chiffrestableau"/>
            </w:pPr>
            <w:proofErr w:type="spellStart"/>
            <w:r w:rsidRPr="007A5EE0">
              <w:t>xxxx</w:t>
            </w:r>
            <w:proofErr w:type="spellEnd"/>
          </w:p>
        </w:tc>
        <w:tc>
          <w:tcPr>
            <w:tcW w:w="2835" w:type="dxa"/>
            <w:tcBorders>
              <w:top w:val="single" w:sz="4" w:space="0" w:color="auto"/>
              <w:left w:val="nil"/>
              <w:right w:val="nil"/>
            </w:tcBorders>
            <w:vAlign w:val="bottom"/>
          </w:tcPr>
          <w:p w14:paraId="51084AE8" w14:textId="77777777" w:rsidR="00B478A5" w:rsidRPr="007A5EE0" w:rsidRDefault="00B478A5" w:rsidP="00415B40">
            <w:pPr>
              <w:pStyle w:val="chiffrestableau"/>
            </w:pPr>
            <w:r w:rsidRPr="007A5EE0">
              <w:t>(xx)</w:t>
            </w:r>
          </w:p>
        </w:tc>
      </w:tr>
      <w:tr w:rsidR="00B478A5" w:rsidRPr="007A5EE0" w14:paraId="1C88240B" w14:textId="77777777" w:rsidTr="005117F9">
        <w:trPr>
          <w:trHeight w:val="269"/>
        </w:trPr>
        <w:tc>
          <w:tcPr>
            <w:tcW w:w="5670" w:type="dxa"/>
            <w:vAlign w:val="bottom"/>
          </w:tcPr>
          <w:p w14:paraId="02B942A2" w14:textId="77777777" w:rsidR="00B478A5" w:rsidRPr="007A5EE0" w:rsidRDefault="00B478A5" w:rsidP="00415B40">
            <w:pPr>
              <w:pStyle w:val="chiffrestableau"/>
            </w:pPr>
            <w:proofErr w:type="spellStart"/>
            <w:r w:rsidRPr="007A5EE0">
              <w:t>xxxx</w:t>
            </w:r>
            <w:proofErr w:type="spellEnd"/>
          </w:p>
        </w:tc>
        <w:tc>
          <w:tcPr>
            <w:tcW w:w="2835" w:type="dxa"/>
            <w:vAlign w:val="bottom"/>
          </w:tcPr>
          <w:p w14:paraId="183DF90D" w14:textId="77777777" w:rsidR="00B478A5" w:rsidRPr="007A5EE0" w:rsidRDefault="00B478A5" w:rsidP="00415B40">
            <w:pPr>
              <w:pStyle w:val="chiffrestableau"/>
            </w:pPr>
            <w:r w:rsidRPr="007A5EE0">
              <w:t>xx</w:t>
            </w:r>
          </w:p>
        </w:tc>
      </w:tr>
      <w:tr w:rsidR="00B478A5" w:rsidRPr="007A5EE0" w14:paraId="4CBC8FF5" w14:textId="77777777" w:rsidTr="005117F9">
        <w:trPr>
          <w:trHeight w:val="269"/>
        </w:trPr>
        <w:tc>
          <w:tcPr>
            <w:tcW w:w="5670" w:type="dxa"/>
            <w:vAlign w:val="bottom"/>
          </w:tcPr>
          <w:p w14:paraId="2DDB8CF1" w14:textId="77777777" w:rsidR="00B478A5" w:rsidRPr="007A5EE0" w:rsidRDefault="00B478A5" w:rsidP="00415B40">
            <w:pPr>
              <w:pStyle w:val="chiffrestableau"/>
            </w:pPr>
            <w:proofErr w:type="spellStart"/>
            <w:r w:rsidRPr="007A5EE0">
              <w:t>xxxx</w:t>
            </w:r>
            <w:proofErr w:type="spellEnd"/>
          </w:p>
        </w:tc>
        <w:tc>
          <w:tcPr>
            <w:tcW w:w="2835" w:type="dxa"/>
            <w:vAlign w:val="bottom"/>
          </w:tcPr>
          <w:p w14:paraId="5ABAD650" w14:textId="77777777" w:rsidR="00B478A5" w:rsidRPr="007A5EE0" w:rsidRDefault="00B478A5" w:rsidP="00415B40">
            <w:pPr>
              <w:pStyle w:val="chiffrestableau"/>
            </w:pPr>
            <w:r w:rsidRPr="007A5EE0">
              <w:t>xx</w:t>
            </w:r>
          </w:p>
        </w:tc>
      </w:tr>
      <w:tr w:rsidR="00B478A5" w:rsidRPr="007A5EE0" w14:paraId="5EE8EECD" w14:textId="77777777" w:rsidTr="005117F9">
        <w:trPr>
          <w:trHeight w:val="165"/>
        </w:trPr>
        <w:tc>
          <w:tcPr>
            <w:tcW w:w="5670" w:type="dxa"/>
            <w:tcBorders>
              <w:left w:val="nil"/>
              <w:bottom w:val="single" w:sz="12" w:space="0" w:color="auto"/>
              <w:right w:val="nil"/>
            </w:tcBorders>
            <w:vAlign w:val="bottom"/>
          </w:tcPr>
          <w:p w14:paraId="78EB7C1F" w14:textId="4D29FD57" w:rsidR="00B478A5" w:rsidRPr="007A5EE0" w:rsidRDefault="0091386B" w:rsidP="00415B40">
            <w:pPr>
              <w:pStyle w:val="Normaltableau"/>
            </w:pPr>
            <w:proofErr w:type="spellStart"/>
            <w:r w:rsidRPr="007A5EE0">
              <w:t>X</w:t>
            </w:r>
            <w:r w:rsidR="00B478A5" w:rsidRPr="007A5EE0">
              <w:t>xxx</w:t>
            </w:r>
            <w:proofErr w:type="spellEnd"/>
          </w:p>
        </w:tc>
        <w:tc>
          <w:tcPr>
            <w:tcW w:w="2835" w:type="dxa"/>
            <w:tcBorders>
              <w:left w:val="nil"/>
              <w:bottom w:val="single" w:sz="12" w:space="0" w:color="auto"/>
              <w:right w:val="nil"/>
            </w:tcBorders>
            <w:vAlign w:val="bottom"/>
          </w:tcPr>
          <w:p w14:paraId="7D05B475" w14:textId="77777777" w:rsidR="00B478A5" w:rsidRPr="007A5EE0" w:rsidRDefault="00B478A5" w:rsidP="00415B40">
            <w:pPr>
              <w:pStyle w:val="chiffrestableau"/>
            </w:pPr>
            <w:r w:rsidRPr="007A5EE0">
              <w:t>xx</w:t>
            </w:r>
          </w:p>
        </w:tc>
      </w:tr>
    </w:tbl>
    <w:p w14:paraId="5A03051F" w14:textId="65E306D1" w:rsidR="00B478A5" w:rsidRDefault="004E6888" w:rsidP="000C1D42">
      <w:pPr>
        <w:pStyle w:val="Titre2"/>
      </w:pPr>
      <w:bookmarkStart w:id="5" w:name="_Toc22220037"/>
      <w:bookmarkStart w:id="6" w:name="_Toc118905531"/>
      <w:r>
        <w:t>Note</w:t>
      </w:r>
      <w:r w:rsidR="00900866">
        <w:t> </w:t>
      </w:r>
      <w:r>
        <w:t xml:space="preserve">25 </w:t>
      </w:r>
      <w:r w:rsidR="00900866">
        <w:t>—</w:t>
      </w:r>
      <w:r>
        <w:t xml:space="preserve"> </w:t>
      </w:r>
      <w:r w:rsidR="00B478A5">
        <w:t>Instruments financiers</w:t>
      </w:r>
      <w:r w:rsidR="00B478A5" w:rsidRPr="005C52C1">
        <w:t xml:space="preserve"> </w:t>
      </w:r>
      <w:bookmarkEnd w:id="5"/>
      <w:bookmarkEnd w:id="6"/>
    </w:p>
    <w:p w14:paraId="40E852CC" w14:textId="463BC548" w:rsidR="00B478A5" w:rsidRPr="005C3983" w:rsidRDefault="00B478A5" w:rsidP="008208D8">
      <w:r w:rsidRPr="005C3983">
        <w:t>Les instruments financiers classés dans la catégorie des instruments financiers évalués à la juste valeur sont les placements de portefeuille constitués</w:t>
      </w:r>
      <w:r w:rsidR="00115391">
        <w:t xml:space="preserve"> de</w:t>
      </w:r>
      <w:r w:rsidRPr="005C3983">
        <w:t xml:space="preserve"> </w:t>
      </w:r>
      <w:r w:rsidR="004E6888">
        <w:t>fonds commun</w:t>
      </w:r>
      <w:r w:rsidR="00115391">
        <w:t>s</w:t>
      </w:r>
      <w:r w:rsidRPr="005C3983">
        <w:t xml:space="preserve"> cotés sur un marché actif et les instruments financiers dérivés</w:t>
      </w:r>
    </w:p>
    <w:p w14:paraId="2BBD4277" w14:textId="7E0C34B1" w:rsidR="00B478A5" w:rsidRPr="005C3983" w:rsidRDefault="00B478A5" w:rsidP="008208D8">
      <w:r w:rsidRPr="005C3983">
        <w:t xml:space="preserve">La juste valeur des placements de portefeuille constitués </w:t>
      </w:r>
      <w:r>
        <w:t>d</w:t>
      </w:r>
      <w:r w:rsidR="00115391">
        <w:t>e fonds communs</w:t>
      </w:r>
      <w:r w:rsidRPr="005C3983">
        <w:t xml:space="preserve"> cotés est déterminée en fonction </w:t>
      </w:r>
      <w:r w:rsidR="00115391" w:rsidRPr="008208D8">
        <w:rPr>
          <w:b/>
          <w:bCs/>
          <w:color w:val="FF0000"/>
        </w:rPr>
        <w:t>[à déterminer en fonction du fonds commun]</w:t>
      </w:r>
      <w:r w:rsidRPr="005C3983">
        <w:t>. C</w:t>
      </w:r>
      <w:r>
        <w:t>ette évaluation est</w:t>
      </w:r>
      <w:r w:rsidRPr="005C3983">
        <w:t xml:space="preserve"> classé</w:t>
      </w:r>
      <w:r>
        <w:t>e</w:t>
      </w:r>
      <w:r w:rsidRPr="005C3983">
        <w:t xml:space="preserve"> au niveau</w:t>
      </w:r>
      <w:r>
        <w:t> </w:t>
      </w:r>
      <w:r w:rsidR="00115391" w:rsidRPr="008208D8">
        <w:rPr>
          <w:b/>
          <w:bCs/>
          <w:color w:val="FF0000"/>
        </w:rPr>
        <w:t>[à déterminer en fonction du fonds commun]</w:t>
      </w:r>
      <w:r w:rsidRPr="008208D8">
        <w:rPr>
          <w:color w:val="FF0000"/>
        </w:rPr>
        <w:t xml:space="preserve"> </w:t>
      </w:r>
      <w:r w:rsidRPr="005C3983">
        <w:t>de la hiérarchie des évaluations à la juste valeur.</w:t>
      </w:r>
    </w:p>
    <w:p w14:paraId="16AB875B" w14:textId="3B07A230" w:rsidR="00B478A5" w:rsidRDefault="00B478A5" w:rsidP="00FE284E">
      <w:r w:rsidRPr="005C3983">
        <w:t>Pour établir la juste valeur des instruments financiers dérivés, l’</w:t>
      </w:r>
      <w:r w:rsidR="00C70202">
        <w:t>organisme</w:t>
      </w:r>
      <w:r w:rsidR="002B2A6C">
        <w:t xml:space="preserve"> municipal</w:t>
      </w:r>
      <w:r w:rsidRPr="005C3983">
        <w:t xml:space="preserve"> a appliqué des techniques d’évaluation </w:t>
      </w:r>
      <w:r w:rsidR="00115391" w:rsidRPr="00FE284E">
        <w:rPr>
          <w:b/>
          <w:bCs/>
          <w:color w:val="FF0000"/>
        </w:rPr>
        <w:t>[à déterminer en fonction du dérivé]</w:t>
      </w:r>
      <w:r w:rsidRPr="005C3983">
        <w:t xml:space="preserve">. </w:t>
      </w:r>
      <w:r>
        <w:t xml:space="preserve">Cette évaluation est </w:t>
      </w:r>
      <w:r w:rsidRPr="005C3983">
        <w:t>classé</w:t>
      </w:r>
      <w:r>
        <w:t>e</w:t>
      </w:r>
      <w:r w:rsidRPr="005C3983">
        <w:t xml:space="preserve"> au niveau</w:t>
      </w:r>
      <w:r>
        <w:t> </w:t>
      </w:r>
      <w:r w:rsidR="00115391" w:rsidRPr="00FE284E">
        <w:rPr>
          <w:b/>
          <w:bCs/>
          <w:color w:val="FF0000"/>
        </w:rPr>
        <w:t>[à déterminer en fonction du dérivé]</w:t>
      </w:r>
      <w:r w:rsidRPr="00FE284E">
        <w:rPr>
          <w:color w:val="FF0000"/>
        </w:rPr>
        <w:t xml:space="preserve"> </w:t>
      </w:r>
      <w:r w:rsidRPr="005C3983">
        <w:t>de la hiérarchie des évaluations à la juste valeur.</w:t>
      </w:r>
    </w:p>
    <w:p w14:paraId="4D746368" w14:textId="77777777" w:rsidR="00B478A5" w:rsidRPr="005C3983" w:rsidRDefault="00B478A5" w:rsidP="00FE284E">
      <w:r>
        <w:t xml:space="preserve">Pour tous les instruments financiers évalués à la juste valeur, il n’y a aucun transfert entre les niveaux de la hiérarchie des évaluations à la juste valeur. </w:t>
      </w:r>
    </w:p>
    <w:p w14:paraId="05167336" w14:textId="77777777" w:rsidR="00B478A5" w:rsidRPr="005C3983" w:rsidRDefault="00B478A5" w:rsidP="00B00C65">
      <w:pPr>
        <w:pStyle w:val="Titre3"/>
      </w:pPr>
      <w:bookmarkStart w:id="7" w:name="_Toc118905532"/>
      <w:r w:rsidRPr="005C3983">
        <w:t>G</w:t>
      </w:r>
      <w:r>
        <w:t>estion des risques liés aux instruments financiers</w:t>
      </w:r>
      <w:bookmarkEnd w:id="7"/>
    </w:p>
    <w:p w14:paraId="494E9DB5" w14:textId="68782A82" w:rsidR="00B478A5" w:rsidRPr="005C3983" w:rsidRDefault="00B478A5" w:rsidP="00B00C65">
      <w:r w:rsidRPr="005C3983">
        <w:t xml:space="preserve">Dans le cours normal de </w:t>
      </w:r>
      <w:r w:rsidR="00113C6B">
        <w:t>s</w:t>
      </w:r>
      <w:r w:rsidRPr="005C3983">
        <w:t xml:space="preserve">es activités, </w:t>
      </w:r>
      <w:r w:rsidRPr="00B00C65">
        <w:t>l’</w:t>
      </w:r>
      <w:r w:rsidR="00BA05A8" w:rsidRPr="00B00C65">
        <w:t>o</w:t>
      </w:r>
      <w:r w:rsidR="00C70202" w:rsidRPr="00B00C65">
        <w:t>rganisme municipal</w:t>
      </w:r>
      <w:r w:rsidR="00BA05A8" w:rsidRPr="00B00C65">
        <w:t xml:space="preserve"> </w:t>
      </w:r>
      <w:r w:rsidRPr="00B00C65">
        <w:t>est</w:t>
      </w:r>
      <w:r w:rsidRPr="005C3983">
        <w:t xml:space="preserve"> exposé à différents types de risques, tels que le risque de crédit, le risque de liquidité et le risque de marché. La direction a mis en place des politiques et des procédés en matière de contrôle et de gestion qui l’assurent de gérer les risques inhérents aux instruments financiers et d’en minimiser les impacts potentiels.</w:t>
      </w:r>
    </w:p>
    <w:p w14:paraId="68050058" w14:textId="77777777" w:rsidR="00B478A5" w:rsidRPr="005C3983" w:rsidRDefault="00B478A5" w:rsidP="00B00C65">
      <w:pPr>
        <w:pStyle w:val="Titre3"/>
      </w:pPr>
      <w:bookmarkStart w:id="8" w:name="_Toc118905533"/>
      <w:r w:rsidRPr="005C3983">
        <w:t>Risque de crédit</w:t>
      </w:r>
      <w:bookmarkEnd w:id="8"/>
    </w:p>
    <w:p w14:paraId="22EB16C6" w14:textId="746CBBA1" w:rsidR="00B478A5" w:rsidRPr="005C3983" w:rsidRDefault="00B478A5" w:rsidP="00B00C65">
      <w:r w:rsidRPr="005C3983">
        <w:t xml:space="preserve">Le risque de crédit est le risque qu’une partie à un instrument financier manque à l’une de ses obligations et, de ce fait, amène l’autre partie à subir une perte financière. Les principaux risques de crédit </w:t>
      </w:r>
      <w:r>
        <w:t xml:space="preserve">potentiels </w:t>
      </w:r>
      <w:r w:rsidRPr="005C3983">
        <w:t>pour l’</w:t>
      </w:r>
      <w:r w:rsidR="00C70202">
        <w:t>organisme</w:t>
      </w:r>
      <w:r w:rsidR="002B2A6C">
        <w:t xml:space="preserve"> municipal</w:t>
      </w:r>
      <w:r w:rsidRPr="005C3983">
        <w:t xml:space="preserve"> sont liés à la trésorerie et les équivalents de trésorerie, aux débiteurs</w:t>
      </w:r>
      <w:r w:rsidR="00E75A89">
        <w:t xml:space="preserve"> (</w:t>
      </w:r>
      <w:r w:rsidR="00E75A89" w:rsidRPr="00E75A89">
        <w:t xml:space="preserve">à l'exception des taxes à la consommation, </w:t>
      </w:r>
      <w:r w:rsidR="00E75A89" w:rsidRPr="00E75A89">
        <w:lastRenderedPageBreak/>
        <w:t>des taxes et tenant lieu de taxes, les mutations et les amendes et pénalités</w:t>
      </w:r>
      <w:r w:rsidR="00E75A89">
        <w:t>)</w:t>
      </w:r>
      <w:r>
        <w:t xml:space="preserve">, </w:t>
      </w:r>
      <w:r w:rsidRPr="005C3983">
        <w:t>aux prêts</w:t>
      </w:r>
      <w:r>
        <w:t>,</w:t>
      </w:r>
      <w:r w:rsidRPr="005C3983">
        <w:t xml:space="preserve"> aux placements de portefeuille</w:t>
      </w:r>
      <w:r>
        <w:t>, aux dérivés et aux autres créances à recevoir.</w:t>
      </w:r>
      <w:r w:rsidR="00E75A89">
        <w:t xml:space="preserve"> </w:t>
      </w:r>
      <w:r w:rsidR="00E75A89" w:rsidRPr="00E75A89">
        <w:t xml:space="preserve"> </w:t>
      </w:r>
    </w:p>
    <w:p w14:paraId="2FD56580" w14:textId="4A80BDF4" w:rsidR="00B478A5" w:rsidRPr="005C3983" w:rsidRDefault="00B478A5" w:rsidP="00B00C65">
      <w:r w:rsidRPr="005C3983">
        <w:t xml:space="preserve">L’exposition maximale de </w:t>
      </w:r>
      <w:r w:rsidRPr="00BA05A8">
        <w:t>l’</w:t>
      </w:r>
      <w:r w:rsidR="00C70202" w:rsidRPr="00B21F9A">
        <w:t xml:space="preserve">organisme municipal </w:t>
      </w:r>
      <w:r w:rsidRPr="00BA05A8">
        <w:t>au</w:t>
      </w:r>
      <w:r w:rsidRPr="005C3983">
        <w:t xml:space="preserve"> risque de crédit </w:t>
      </w:r>
      <w:r w:rsidR="00BA05A8">
        <w:t xml:space="preserve">correspond aux montants présentés à l’état de la situation financière </w:t>
      </w:r>
      <w:r w:rsidRPr="005C3983">
        <w:t>au 31</w:t>
      </w:r>
      <w:r>
        <w:t> </w:t>
      </w:r>
      <w:r w:rsidR="00BA05A8">
        <w:t xml:space="preserve">décembre. </w:t>
      </w:r>
    </w:p>
    <w:p w14:paraId="5CEFE3F2" w14:textId="77777777" w:rsidR="00BA05A8" w:rsidRPr="00B21F9A" w:rsidRDefault="00BA05A8" w:rsidP="00B00C65">
      <w:pPr>
        <w:pStyle w:val="Titre4"/>
      </w:pPr>
      <w:r w:rsidRPr="00B21F9A">
        <w:t>Trésorerie et équivalents de trésorerie</w:t>
      </w:r>
    </w:p>
    <w:p w14:paraId="42426644" w14:textId="6503AB12" w:rsidR="00B478A5" w:rsidRPr="000E4935" w:rsidRDefault="00B478A5" w:rsidP="00415B40">
      <w:pPr>
        <w:pStyle w:val="Texteprincipal"/>
        <w:rPr>
          <w:rFonts w:ascii="Arial" w:hAnsi="Arial" w:cs="Arial"/>
          <w:sz w:val="22"/>
          <w:szCs w:val="22"/>
        </w:rPr>
      </w:pPr>
      <w:r w:rsidRPr="000E4935">
        <w:rPr>
          <w:rFonts w:ascii="Arial" w:hAnsi="Arial" w:cs="Arial"/>
          <w:sz w:val="22"/>
          <w:szCs w:val="22"/>
        </w:rPr>
        <w:t xml:space="preserve">Le risque de crédit associé à la trésorerie et </w:t>
      </w:r>
      <w:r w:rsidR="00113C6B" w:rsidRPr="000E4935">
        <w:rPr>
          <w:rFonts w:ascii="Arial" w:hAnsi="Arial" w:cs="Arial"/>
          <w:sz w:val="22"/>
          <w:szCs w:val="22"/>
        </w:rPr>
        <w:t xml:space="preserve">aux </w:t>
      </w:r>
      <w:r w:rsidRPr="000E4935">
        <w:rPr>
          <w:rFonts w:ascii="Arial" w:hAnsi="Arial" w:cs="Arial"/>
          <w:sz w:val="22"/>
          <w:szCs w:val="22"/>
        </w:rPr>
        <w:t>équivalents de trésorerie est jugé négligeable, puisque les contreparties sont des institutions financières ayant une cote de solvabilité élevée attribuée par des agences de notation reconnues.</w:t>
      </w:r>
    </w:p>
    <w:p w14:paraId="085A1C71" w14:textId="77777777" w:rsidR="00B478A5" w:rsidRPr="00B21F9A" w:rsidRDefault="00B478A5" w:rsidP="00B00C65">
      <w:pPr>
        <w:pStyle w:val="Titre4"/>
      </w:pPr>
      <w:bookmarkStart w:id="9" w:name="_Toc118905534"/>
      <w:r w:rsidRPr="00B21F9A">
        <w:t>Débiteurs</w:t>
      </w:r>
      <w:bookmarkEnd w:id="9"/>
    </w:p>
    <w:p w14:paraId="0401D772" w14:textId="5182B65E" w:rsidR="00B478A5" w:rsidRDefault="00B478A5" w:rsidP="00B00C65">
      <w:r w:rsidRPr="005C3983">
        <w:t xml:space="preserve">Le risque de </w:t>
      </w:r>
      <w:r w:rsidRPr="00B00C65">
        <w:t xml:space="preserve">crédit associé aux débiteurs </w:t>
      </w:r>
      <w:r w:rsidR="00BA05A8" w:rsidRPr="00B00C65">
        <w:t>autres que les taxes municipales</w:t>
      </w:r>
      <w:r w:rsidR="00E75A89">
        <w:t xml:space="preserve"> et tenant lieu de taxes</w:t>
      </w:r>
      <w:r w:rsidR="00BA05A8" w:rsidRPr="00B00C65">
        <w:t xml:space="preserve"> à recevoir</w:t>
      </w:r>
      <w:r w:rsidR="00E75A89">
        <w:t>, les t</w:t>
      </w:r>
      <w:r w:rsidR="00E75A89" w:rsidRPr="00E75A89">
        <w:t>axes à la consommation, les mutations et les amendes et pénalités</w:t>
      </w:r>
      <w:r w:rsidR="00E75A89">
        <w:t xml:space="preserve"> à recevoir</w:t>
      </w:r>
      <w:r w:rsidR="00BA05A8" w:rsidRPr="00B00C65">
        <w:t xml:space="preserve">, </w:t>
      </w:r>
      <w:r w:rsidRPr="00B00C65">
        <w:t>est réduit, puisque l’</w:t>
      </w:r>
      <w:r w:rsidR="00C70202" w:rsidRPr="00B00C65">
        <w:t xml:space="preserve">organisme municipal </w:t>
      </w:r>
      <w:r w:rsidRPr="00B00C65">
        <w:t>évalue</w:t>
      </w:r>
      <w:r w:rsidR="00477983" w:rsidRPr="00B00C65">
        <w:t xml:space="preserve"> régulièrement la probabilité de recouvrement</w:t>
      </w:r>
      <w:r w:rsidRPr="00B00C65">
        <w:t>. L’</w:t>
      </w:r>
      <w:r w:rsidR="00BE4EAB" w:rsidRPr="00B00C65">
        <w:t>o</w:t>
      </w:r>
      <w:r w:rsidR="00C70202" w:rsidRPr="00B00C65">
        <w:t>rganisme</w:t>
      </w:r>
      <w:r w:rsidR="002B2A6C" w:rsidRPr="00B00C65">
        <w:t xml:space="preserve"> municipal</w:t>
      </w:r>
      <w:r w:rsidRPr="00B00C65">
        <w:t xml:space="preserve"> ne détient aucun actif en garantie des débiteurs. En raison de la diversité de ses </w:t>
      </w:r>
      <w:r w:rsidR="00477983" w:rsidRPr="00B00C65">
        <w:t>débiteurs</w:t>
      </w:r>
      <w:r w:rsidRPr="00B00C65">
        <w:t xml:space="preserve"> </w:t>
      </w:r>
      <w:r w:rsidR="00477983" w:rsidRPr="00B00C65">
        <w:t>et</w:t>
      </w:r>
      <w:r w:rsidRPr="00B00C65">
        <w:t xml:space="preserve"> de leurs secteurs d’activité, l’</w:t>
      </w:r>
      <w:r w:rsidR="00BE4EAB" w:rsidRPr="00B00C65">
        <w:t>o</w:t>
      </w:r>
      <w:r w:rsidR="00C70202" w:rsidRPr="00B00C65">
        <w:t>rganisme</w:t>
      </w:r>
      <w:r w:rsidR="002B2A6C" w:rsidRPr="00B00C65">
        <w:t xml:space="preserve"> municipal</w:t>
      </w:r>
      <w:r w:rsidRPr="00B00C65">
        <w:t xml:space="preserve"> croit que la concentration du risque de crédit à l’égard de </w:t>
      </w:r>
      <w:r w:rsidR="00477983" w:rsidRPr="00B00C65">
        <w:t xml:space="preserve">ceux-ci </w:t>
      </w:r>
      <w:r w:rsidRPr="00B00C65">
        <w:t xml:space="preserve">est minime. </w:t>
      </w:r>
      <w:r w:rsidR="00477983" w:rsidRPr="00B00C65">
        <w:t xml:space="preserve">Il </w:t>
      </w:r>
      <w:r w:rsidRPr="00B00C65">
        <w:t xml:space="preserve">établit la provision pour créances douteuses en fonction du risque de crédit spécifique et des tendances historiques des </w:t>
      </w:r>
      <w:r w:rsidR="00477983" w:rsidRPr="00B00C65">
        <w:t>débiteurs</w:t>
      </w:r>
      <w:r w:rsidRPr="00B00C65">
        <w:t xml:space="preserve">. </w:t>
      </w:r>
      <w:r w:rsidR="00477983" w:rsidRPr="00B00C65">
        <w:t xml:space="preserve">Il </w:t>
      </w:r>
      <w:r w:rsidRPr="00B00C65">
        <w:t>enregistre une dépréciation seulement pour les débiteurs dont le recouvrement n’est</w:t>
      </w:r>
      <w:r w:rsidRPr="005C3983">
        <w:t xml:space="preserve"> pas raisonnablement certain.</w:t>
      </w:r>
    </w:p>
    <w:p w14:paraId="55B2F353" w14:textId="6F159D8A" w:rsidR="00B478A5" w:rsidRPr="005C3983" w:rsidRDefault="00B478A5" w:rsidP="004B0C96">
      <w:r w:rsidRPr="005C3983">
        <w:t>La balance chronologique des débiteurs, déduction faite de la provision pour créances douteuses, au 31</w:t>
      </w:r>
      <w:r>
        <w:t> </w:t>
      </w:r>
      <w:r w:rsidR="00477983">
        <w:t>décembre</w:t>
      </w:r>
      <w:r w:rsidR="00477983" w:rsidRPr="005C3983">
        <w:t xml:space="preserve"> </w:t>
      </w:r>
      <w:r>
        <w:t>se détaille</w:t>
      </w:r>
      <w:r w:rsidRPr="005C3983">
        <w:t xml:space="preserve"> comme suit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2"/>
        <w:gridCol w:w="222"/>
        <w:gridCol w:w="1284"/>
        <w:gridCol w:w="266"/>
        <w:gridCol w:w="1286"/>
      </w:tblGrid>
      <w:tr w:rsidR="00B478A5" w:rsidRPr="004B0C96" w14:paraId="039E0934" w14:textId="77777777" w:rsidTr="005117F9">
        <w:tc>
          <w:tcPr>
            <w:tcW w:w="3231" w:type="pct"/>
            <w:tcBorders>
              <w:top w:val="single" w:sz="4" w:space="0" w:color="auto"/>
              <w:left w:val="nil"/>
              <w:bottom w:val="nil"/>
              <w:right w:val="nil"/>
            </w:tcBorders>
          </w:tcPr>
          <w:p w14:paraId="4D2D98DC" w14:textId="77777777" w:rsidR="00B478A5" w:rsidRPr="004B0C96" w:rsidRDefault="00B478A5" w:rsidP="00F80FAC">
            <w:pPr>
              <w:spacing w:before="0" w:after="0"/>
              <w:rPr>
                <w:rFonts w:cs="Arial"/>
                <w:sz w:val="20"/>
              </w:rPr>
            </w:pPr>
          </w:p>
        </w:tc>
        <w:tc>
          <w:tcPr>
            <w:tcW w:w="128" w:type="pct"/>
            <w:tcBorders>
              <w:top w:val="single" w:sz="4" w:space="0" w:color="auto"/>
              <w:left w:val="nil"/>
              <w:bottom w:val="nil"/>
              <w:right w:val="nil"/>
            </w:tcBorders>
          </w:tcPr>
          <w:p w14:paraId="694E045D" w14:textId="77777777" w:rsidR="00B478A5" w:rsidRPr="004B0C96" w:rsidRDefault="00B478A5" w:rsidP="00F80FAC">
            <w:pPr>
              <w:spacing w:before="0" w:after="0"/>
              <w:rPr>
                <w:rFonts w:cs="Arial"/>
                <w:sz w:val="20"/>
              </w:rPr>
            </w:pPr>
          </w:p>
        </w:tc>
        <w:tc>
          <w:tcPr>
            <w:tcW w:w="743" w:type="pct"/>
            <w:tcBorders>
              <w:top w:val="single" w:sz="4" w:space="0" w:color="auto"/>
              <w:left w:val="nil"/>
              <w:bottom w:val="nil"/>
              <w:right w:val="nil"/>
            </w:tcBorders>
          </w:tcPr>
          <w:p w14:paraId="710A58D2" w14:textId="77777777" w:rsidR="00B478A5" w:rsidRPr="004B0C96" w:rsidRDefault="00B478A5" w:rsidP="00F80FAC">
            <w:pPr>
              <w:spacing w:before="0" w:after="0"/>
              <w:jc w:val="right"/>
              <w:rPr>
                <w:rFonts w:cs="Arial"/>
                <w:sz w:val="20"/>
              </w:rPr>
            </w:pPr>
            <w:r w:rsidRPr="004B0C96">
              <w:rPr>
                <w:rFonts w:cs="Arial"/>
                <w:sz w:val="20"/>
              </w:rPr>
              <w:t>20X2</w:t>
            </w:r>
          </w:p>
        </w:tc>
        <w:tc>
          <w:tcPr>
            <w:tcW w:w="154" w:type="pct"/>
            <w:tcBorders>
              <w:top w:val="single" w:sz="4" w:space="0" w:color="auto"/>
              <w:left w:val="nil"/>
              <w:bottom w:val="nil"/>
              <w:right w:val="nil"/>
            </w:tcBorders>
          </w:tcPr>
          <w:p w14:paraId="34FE65DA" w14:textId="77777777" w:rsidR="00B478A5" w:rsidRPr="004B0C96" w:rsidRDefault="00B478A5" w:rsidP="00F80FAC">
            <w:pPr>
              <w:spacing w:before="0" w:after="0"/>
              <w:jc w:val="right"/>
              <w:rPr>
                <w:rFonts w:cs="Arial"/>
                <w:sz w:val="20"/>
              </w:rPr>
            </w:pPr>
          </w:p>
        </w:tc>
        <w:tc>
          <w:tcPr>
            <w:tcW w:w="744" w:type="pct"/>
            <w:tcBorders>
              <w:top w:val="single" w:sz="4" w:space="0" w:color="auto"/>
              <w:left w:val="nil"/>
              <w:bottom w:val="nil"/>
              <w:right w:val="nil"/>
            </w:tcBorders>
          </w:tcPr>
          <w:p w14:paraId="1E9635E3" w14:textId="77777777" w:rsidR="00B478A5" w:rsidRPr="004B0C96" w:rsidRDefault="00B478A5" w:rsidP="00F80FAC">
            <w:pPr>
              <w:spacing w:before="0" w:after="0"/>
              <w:jc w:val="right"/>
              <w:rPr>
                <w:rFonts w:cs="Arial"/>
                <w:sz w:val="20"/>
              </w:rPr>
            </w:pPr>
            <w:r w:rsidRPr="004B0C96">
              <w:rPr>
                <w:rFonts w:cs="Arial"/>
                <w:sz w:val="20"/>
              </w:rPr>
              <w:t>20X1</w:t>
            </w:r>
          </w:p>
        </w:tc>
      </w:tr>
      <w:tr w:rsidR="00B478A5" w:rsidRPr="004B0C96" w14:paraId="16500960" w14:textId="77777777" w:rsidTr="005117F9">
        <w:tc>
          <w:tcPr>
            <w:tcW w:w="3231" w:type="pct"/>
            <w:tcBorders>
              <w:top w:val="single" w:sz="4" w:space="0" w:color="auto"/>
              <w:left w:val="nil"/>
              <w:bottom w:val="nil"/>
              <w:right w:val="nil"/>
            </w:tcBorders>
          </w:tcPr>
          <w:p w14:paraId="60D3CB28" w14:textId="77777777" w:rsidR="00B478A5" w:rsidRPr="004B0C96" w:rsidRDefault="00B478A5" w:rsidP="00F80FAC">
            <w:pPr>
              <w:spacing w:before="0" w:after="0"/>
              <w:rPr>
                <w:rFonts w:cs="Arial"/>
                <w:sz w:val="20"/>
              </w:rPr>
            </w:pPr>
            <w:r w:rsidRPr="004B0C96">
              <w:rPr>
                <w:rFonts w:cs="Arial"/>
                <w:sz w:val="20"/>
              </w:rPr>
              <w:t>Non en souffrance</w:t>
            </w:r>
          </w:p>
        </w:tc>
        <w:tc>
          <w:tcPr>
            <w:tcW w:w="128" w:type="pct"/>
            <w:tcBorders>
              <w:top w:val="single" w:sz="4" w:space="0" w:color="auto"/>
              <w:left w:val="nil"/>
              <w:bottom w:val="nil"/>
              <w:right w:val="nil"/>
            </w:tcBorders>
          </w:tcPr>
          <w:p w14:paraId="3825B15F" w14:textId="77777777" w:rsidR="00B478A5" w:rsidRPr="004B0C96" w:rsidRDefault="00B478A5" w:rsidP="00F80FAC">
            <w:pPr>
              <w:spacing w:before="0" w:after="0"/>
              <w:rPr>
                <w:rFonts w:cs="Arial"/>
                <w:sz w:val="20"/>
              </w:rPr>
            </w:pPr>
          </w:p>
        </w:tc>
        <w:tc>
          <w:tcPr>
            <w:tcW w:w="743" w:type="pct"/>
            <w:tcBorders>
              <w:top w:val="single" w:sz="4" w:space="0" w:color="auto"/>
              <w:left w:val="nil"/>
              <w:bottom w:val="nil"/>
              <w:right w:val="nil"/>
            </w:tcBorders>
          </w:tcPr>
          <w:p w14:paraId="19125C4F" w14:textId="77777777" w:rsidR="00B478A5" w:rsidRPr="004B0C96" w:rsidRDefault="00B478A5" w:rsidP="00F80FAC">
            <w:pPr>
              <w:spacing w:before="0" w:after="0"/>
              <w:jc w:val="right"/>
              <w:rPr>
                <w:rFonts w:cs="Arial"/>
                <w:sz w:val="20"/>
              </w:rPr>
            </w:pPr>
            <w:r w:rsidRPr="004B0C96">
              <w:rPr>
                <w:rFonts w:cs="Arial"/>
                <w:sz w:val="20"/>
              </w:rPr>
              <w:t>XX </w:t>
            </w:r>
          </w:p>
        </w:tc>
        <w:tc>
          <w:tcPr>
            <w:tcW w:w="154" w:type="pct"/>
            <w:tcBorders>
              <w:top w:val="single" w:sz="4" w:space="0" w:color="auto"/>
              <w:left w:val="nil"/>
              <w:bottom w:val="nil"/>
              <w:right w:val="nil"/>
            </w:tcBorders>
          </w:tcPr>
          <w:p w14:paraId="706C1185" w14:textId="77777777" w:rsidR="00B478A5" w:rsidRPr="004B0C96" w:rsidRDefault="00B478A5" w:rsidP="00F80FAC">
            <w:pPr>
              <w:spacing w:before="0" w:after="0"/>
              <w:jc w:val="right"/>
              <w:rPr>
                <w:rFonts w:cs="Arial"/>
                <w:sz w:val="20"/>
              </w:rPr>
            </w:pPr>
          </w:p>
        </w:tc>
        <w:tc>
          <w:tcPr>
            <w:tcW w:w="744" w:type="pct"/>
            <w:tcBorders>
              <w:top w:val="single" w:sz="4" w:space="0" w:color="auto"/>
              <w:left w:val="nil"/>
              <w:bottom w:val="nil"/>
              <w:right w:val="nil"/>
            </w:tcBorders>
          </w:tcPr>
          <w:p w14:paraId="7CE91ED0" w14:textId="77777777" w:rsidR="00B478A5" w:rsidRPr="004B0C96" w:rsidRDefault="00B478A5" w:rsidP="00F80FAC">
            <w:pPr>
              <w:spacing w:before="0" w:after="0"/>
              <w:jc w:val="right"/>
              <w:rPr>
                <w:rFonts w:cs="Arial"/>
                <w:sz w:val="20"/>
              </w:rPr>
            </w:pPr>
            <w:r w:rsidRPr="004B0C96">
              <w:rPr>
                <w:rFonts w:cs="Arial"/>
                <w:sz w:val="20"/>
              </w:rPr>
              <w:t>XX </w:t>
            </w:r>
          </w:p>
        </w:tc>
      </w:tr>
      <w:tr w:rsidR="00B478A5" w:rsidRPr="004B0C96" w14:paraId="423A35FE" w14:textId="77777777" w:rsidTr="005117F9">
        <w:tc>
          <w:tcPr>
            <w:tcW w:w="3231" w:type="pct"/>
            <w:tcBorders>
              <w:top w:val="nil"/>
              <w:left w:val="nil"/>
              <w:bottom w:val="nil"/>
              <w:right w:val="nil"/>
            </w:tcBorders>
          </w:tcPr>
          <w:p w14:paraId="17846C70" w14:textId="17D26327" w:rsidR="00B478A5" w:rsidRPr="004B0C96" w:rsidDel="006F4BDC" w:rsidRDefault="00B478A5" w:rsidP="00F80FAC">
            <w:pPr>
              <w:spacing w:before="0" w:after="0"/>
              <w:rPr>
                <w:rFonts w:cs="Arial"/>
                <w:sz w:val="20"/>
              </w:rPr>
            </w:pPr>
            <w:r w:rsidRPr="004B0C96">
              <w:rPr>
                <w:rFonts w:cs="Arial"/>
                <w:sz w:val="20"/>
              </w:rPr>
              <w:t>En souffrance</w:t>
            </w:r>
            <w:r w:rsidR="001338E3">
              <w:rPr>
                <w:rStyle w:val="Appelnotedebasdep"/>
                <w:rFonts w:cs="Arial"/>
                <w:sz w:val="20"/>
              </w:rPr>
              <w:footnoteReference w:id="1"/>
            </w:r>
            <w:r w:rsidRPr="004B0C96">
              <w:rPr>
                <w:rFonts w:cs="Arial"/>
                <w:sz w:val="20"/>
              </w:rPr>
              <w:t xml:space="preserve"> : </w:t>
            </w:r>
          </w:p>
        </w:tc>
        <w:tc>
          <w:tcPr>
            <w:tcW w:w="128" w:type="pct"/>
            <w:tcBorders>
              <w:top w:val="nil"/>
              <w:left w:val="nil"/>
              <w:bottom w:val="nil"/>
              <w:right w:val="nil"/>
            </w:tcBorders>
          </w:tcPr>
          <w:p w14:paraId="4E40BFE1" w14:textId="77777777" w:rsidR="00B478A5" w:rsidRPr="004B0C96" w:rsidRDefault="00B478A5" w:rsidP="00F80FAC">
            <w:pPr>
              <w:spacing w:before="0" w:after="0"/>
              <w:rPr>
                <w:rFonts w:cs="Arial"/>
                <w:sz w:val="20"/>
              </w:rPr>
            </w:pPr>
          </w:p>
        </w:tc>
        <w:tc>
          <w:tcPr>
            <w:tcW w:w="743" w:type="pct"/>
            <w:tcBorders>
              <w:top w:val="nil"/>
              <w:left w:val="nil"/>
              <w:bottom w:val="nil"/>
              <w:right w:val="nil"/>
            </w:tcBorders>
          </w:tcPr>
          <w:p w14:paraId="250E079C" w14:textId="77777777" w:rsidR="00B478A5" w:rsidRPr="004B0C96" w:rsidRDefault="00B478A5" w:rsidP="00F80FAC">
            <w:pPr>
              <w:spacing w:before="0" w:after="0"/>
              <w:jc w:val="right"/>
              <w:rPr>
                <w:rFonts w:cs="Arial"/>
                <w:sz w:val="20"/>
              </w:rPr>
            </w:pPr>
          </w:p>
        </w:tc>
        <w:tc>
          <w:tcPr>
            <w:tcW w:w="154" w:type="pct"/>
            <w:tcBorders>
              <w:top w:val="nil"/>
              <w:left w:val="nil"/>
              <w:bottom w:val="nil"/>
              <w:right w:val="nil"/>
            </w:tcBorders>
          </w:tcPr>
          <w:p w14:paraId="2646C297" w14:textId="77777777" w:rsidR="00B478A5" w:rsidRPr="004B0C96" w:rsidRDefault="00B478A5" w:rsidP="00F80FAC">
            <w:pPr>
              <w:spacing w:before="0" w:after="0"/>
              <w:jc w:val="right"/>
              <w:rPr>
                <w:rFonts w:cs="Arial"/>
                <w:sz w:val="20"/>
              </w:rPr>
            </w:pPr>
          </w:p>
        </w:tc>
        <w:tc>
          <w:tcPr>
            <w:tcW w:w="744" w:type="pct"/>
            <w:tcBorders>
              <w:top w:val="nil"/>
              <w:left w:val="nil"/>
              <w:bottom w:val="nil"/>
              <w:right w:val="nil"/>
            </w:tcBorders>
          </w:tcPr>
          <w:p w14:paraId="03A3E94F" w14:textId="77777777" w:rsidR="00B478A5" w:rsidRPr="004B0C96" w:rsidRDefault="00B478A5" w:rsidP="00F80FAC">
            <w:pPr>
              <w:spacing w:before="0" w:after="0"/>
              <w:jc w:val="right"/>
              <w:rPr>
                <w:rFonts w:cs="Arial"/>
                <w:sz w:val="20"/>
              </w:rPr>
            </w:pPr>
          </w:p>
        </w:tc>
      </w:tr>
      <w:tr w:rsidR="00B478A5" w:rsidRPr="004B0C96" w14:paraId="089781B3" w14:textId="77777777" w:rsidTr="005117F9">
        <w:tc>
          <w:tcPr>
            <w:tcW w:w="3231" w:type="pct"/>
            <w:tcBorders>
              <w:top w:val="nil"/>
              <w:left w:val="nil"/>
              <w:bottom w:val="nil"/>
              <w:right w:val="nil"/>
            </w:tcBorders>
          </w:tcPr>
          <w:p w14:paraId="4E363740" w14:textId="77777777" w:rsidR="00B478A5" w:rsidRPr="004B0C96" w:rsidRDefault="00B478A5" w:rsidP="00F80FAC">
            <w:pPr>
              <w:spacing w:before="0" w:after="0"/>
              <w:ind w:left="601"/>
              <w:rPr>
                <w:rFonts w:cs="Arial"/>
                <w:sz w:val="20"/>
              </w:rPr>
            </w:pPr>
            <w:r w:rsidRPr="004B0C96">
              <w:rPr>
                <w:rFonts w:cs="Arial"/>
                <w:sz w:val="20"/>
              </w:rPr>
              <w:t>moins de 30 jours</w:t>
            </w:r>
          </w:p>
        </w:tc>
        <w:tc>
          <w:tcPr>
            <w:tcW w:w="128" w:type="pct"/>
            <w:tcBorders>
              <w:top w:val="nil"/>
              <w:left w:val="nil"/>
              <w:bottom w:val="nil"/>
              <w:right w:val="nil"/>
            </w:tcBorders>
          </w:tcPr>
          <w:p w14:paraId="10F27442" w14:textId="77777777" w:rsidR="00B478A5" w:rsidRPr="004B0C96" w:rsidRDefault="00B478A5" w:rsidP="00F80FAC">
            <w:pPr>
              <w:spacing w:before="0" w:after="0"/>
              <w:rPr>
                <w:rFonts w:cs="Arial"/>
                <w:sz w:val="20"/>
              </w:rPr>
            </w:pPr>
          </w:p>
        </w:tc>
        <w:tc>
          <w:tcPr>
            <w:tcW w:w="743" w:type="pct"/>
            <w:tcBorders>
              <w:top w:val="nil"/>
              <w:left w:val="nil"/>
              <w:bottom w:val="nil"/>
              <w:right w:val="nil"/>
            </w:tcBorders>
          </w:tcPr>
          <w:p w14:paraId="4062D1EE" w14:textId="77777777" w:rsidR="00B478A5" w:rsidRPr="004B0C96" w:rsidRDefault="00B478A5" w:rsidP="00F80FAC">
            <w:pPr>
              <w:spacing w:before="0" w:after="0"/>
              <w:jc w:val="right"/>
              <w:rPr>
                <w:rFonts w:cs="Arial"/>
                <w:sz w:val="20"/>
              </w:rPr>
            </w:pPr>
            <w:r w:rsidRPr="004B0C96">
              <w:rPr>
                <w:rFonts w:cs="Arial"/>
                <w:sz w:val="20"/>
              </w:rPr>
              <w:t>XX </w:t>
            </w:r>
          </w:p>
        </w:tc>
        <w:tc>
          <w:tcPr>
            <w:tcW w:w="154" w:type="pct"/>
            <w:tcBorders>
              <w:top w:val="nil"/>
              <w:left w:val="nil"/>
              <w:bottom w:val="nil"/>
              <w:right w:val="nil"/>
            </w:tcBorders>
          </w:tcPr>
          <w:p w14:paraId="2A1C7C04" w14:textId="77777777" w:rsidR="00B478A5" w:rsidRPr="004B0C96" w:rsidRDefault="00B478A5" w:rsidP="00F80FAC">
            <w:pPr>
              <w:spacing w:before="0" w:after="0"/>
              <w:jc w:val="right"/>
              <w:rPr>
                <w:rFonts w:cs="Arial"/>
                <w:sz w:val="20"/>
              </w:rPr>
            </w:pPr>
          </w:p>
        </w:tc>
        <w:tc>
          <w:tcPr>
            <w:tcW w:w="744" w:type="pct"/>
            <w:tcBorders>
              <w:top w:val="nil"/>
              <w:left w:val="nil"/>
              <w:bottom w:val="nil"/>
              <w:right w:val="nil"/>
            </w:tcBorders>
          </w:tcPr>
          <w:p w14:paraId="21CE7627" w14:textId="77777777" w:rsidR="00B478A5" w:rsidRPr="004B0C96" w:rsidRDefault="00B478A5" w:rsidP="00F80FAC">
            <w:pPr>
              <w:spacing w:before="0" w:after="0"/>
              <w:jc w:val="right"/>
              <w:rPr>
                <w:rFonts w:cs="Arial"/>
                <w:sz w:val="20"/>
              </w:rPr>
            </w:pPr>
            <w:r w:rsidRPr="004B0C96">
              <w:rPr>
                <w:rFonts w:cs="Arial"/>
                <w:sz w:val="20"/>
              </w:rPr>
              <w:t>XX </w:t>
            </w:r>
          </w:p>
        </w:tc>
      </w:tr>
      <w:tr w:rsidR="00B478A5" w:rsidRPr="004B0C96" w14:paraId="3C305AF1" w14:textId="77777777" w:rsidTr="005117F9">
        <w:tc>
          <w:tcPr>
            <w:tcW w:w="3231" w:type="pct"/>
            <w:tcBorders>
              <w:top w:val="nil"/>
              <w:left w:val="nil"/>
              <w:bottom w:val="nil"/>
              <w:right w:val="nil"/>
            </w:tcBorders>
          </w:tcPr>
          <w:p w14:paraId="3757671A" w14:textId="77777777" w:rsidR="00B478A5" w:rsidRPr="004B0C96" w:rsidRDefault="00B478A5" w:rsidP="00F80FAC">
            <w:pPr>
              <w:spacing w:before="0" w:after="0"/>
              <w:ind w:left="601"/>
              <w:rPr>
                <w:rFonts w:cs="Arial"/>
                <w:sz w:val="20"/>
              </w:rPr>
            </w:pPr>
            <w:r w:rsidRPr="004B0C96">
              <w:rPr>
                <w:rFonts w:cs="Arial"/>
                <w:sz w:val="20"/>
              </w:rPr>
              <w:t>de 30 à 60 jours</w:t>
            </w:r>
          </w:p>
        </w:tc>
        <w:tc>
          <w:tcPr>
            <w:tcW w:w="128" w:type="pct"/>
            <w:tcBorders>
              <w:top w:val="nil"/>
              <w:left w:val="nil"/>
              <w:bottom w:val="nil"/>
              <w:right w:val="nil"/>
            </w:tcBorders>
          </w:tcPr>
          <w:p w14:paraId="2F1B1754" w14:textId="77777777" w:rsidR="00B478A5" w:rsidRPr="004B0C96" w:rsidRDefault="00B478A5" w:rsidP="00F80FAC">
            <w:pPr>
              <w:spacing w:before="0" w:after="0"/>
              <w:rPr>
                <w:rFonts w:cs="Arial"/>
                <w:sz w:val="20"/>
              </w:rPr>
            </w:pPr>
          </w:p>
        </w:tc>
        <w:tc>
          <w:tcPr>
            <w:tcW w:w="743" w:type="pct"/>
            <w:tcBorders>
              <w:top w:val="nil"/>
              <w:left w:val="nil"/>
              <w:bottom w:val="nil"/>
              <w:right w:val="nil"/>
            </w:tcBorders>
          </w:tcPr>
          <w:p w14:paraId="3D5AC4E9" w14:textId="77777777" w:rsidR="00B478A5" w:rsidRPr="004B0C96" w:rsidRDefault="00B478A5" w:rsidP="00F80FAC">
            <w:pPr>
              <w:spacing w:before="0" w:after="0"/>
              <w:jc w:val="right"/>
              <w:rPr>
                <w:rFonts w:cs="Arial"/>
                <w:sz w:val="20"/>
              </w:rPr>
            </w:pPr>
            <w:r w:rsidRPr="004B0C96">
              <w:rPr>
                <w:rFonts w:cs="Arial"/>
                <w:sz w:val="20"/>
              </w:rPr>
              <w:t>XX </w:t>
            </w:r>
          </w:p>
        </w:tc>
        <w:tc>
          <w:tcPr>
            <w:tcW w:w="154" w:type="pct"/>
            <w:tcBorders>
              <w:top w:val="nil"/>
              <w:left w:val="nil"/>
              <w:bottom w:val="nil"/>
              <w:right w:val="nil"/>
            </w:tcBorders>
          </w:tcPr>
          <w:p w14:paraId="5E40FEDA" w14:textId="77777777" w:rsidR="00B478A5" w:rsidRPr="004B0C96" w:rsidRDefault="00B478A5" w:rsidP="00F80FAC">
            <w:pPr>
              <w:spacing w:before="0" w:after="0"/>
              <w:jc w:val="right"/>
              <w:rPr>
                <w:rFonts w:cs="Arial"/>
                <w:sz w:val="20"/>
              </w:rPr>
            </w:pPr>
          </w:p>
        </w:tc>
        <w:tc>
          <w:tcPr>
            <w:tcW w:w="744" w:type="pct"/>
            <w:tcBorders>
              <w:top w:val="nil"/>
              <w:left w:val="nil"/>
              <w:bottom w:val="nil"/>
              <w:right w:val="nil"/>
            </w:tcBorders>
          </w:tcPr>
          <w:p w14:paraId="7E7DD3B9" w14:textId="77777777" w:rsidR="00B478A5" w:rsidRPr="004B0C96" w:rsidRDefault="00B478A5" w:rsidP="00F80FAC">
            <w:pPr>
              <w:spacing w:before="0" w:after="0"/>
              <w:jc w:val="right"/>
              <w:rPr>
                <w:rFonts w:cs="Arial"/>
                <w:sz w:val="20"/>
              </w:rPr>
            </w:pPr>
            <w:r w:rsidRPr="004B0C96">
              <w:rPr>
                <w:rFonts w:cs="Arial"/>
                <w:sz w:val="20"/>
              </w:rPr>
              <w:t>XX </w:t>
            </w:r>
          </w:p>
        </w:tc>
      </w:tr>
      <w:tr w:rsidR="00B478A5" w:rsidRPr="004B0C96" w14:paraId="15507D1D" w14:textId="77777777" w:rsidTr="005117F9">
        <w:tc>
          <w:tcPr>
            <w:tcW w:w="3231" w:type="pct"/>
            <w:tcBorders>
              <w:top w:val="nil"/>
              <w:left w:val="nil"/>
              <w:bottom w:val="single" w:sz="4" w:space="0" w:color="auto"/>
              <w:right w:val="nil"/>
            </w:tcBorders>
          </w:tcPr>
          <w:p w14:paraId="261D9769" w14:textId="77777777" w:rsidR="00B478A5" w:rsidRPr="004B0C96" w:rsidRDefault="00B478A5" w:rsidP="00F80FAC">
            <w:pPr>
              <w:spacing w:before="0" w:after="0"/>
              <w:ind w:left="601"/>
              <w:rPr>
                <w:rFonts w:cs="Arial"/>
                <w:sz w:val="20"/>
              </w:rPr>
            </w:pPr>
            <w:r w:rsidRPr="004B0C96">
              <w:rPr>
                <w:rFonts w:cs="Arial"/>
                <w:sz w:val="20"/>
              </w:rPr>
              <w:t>plus de 60 jours</w:t>
            </w:r>
          </w:p>
        </w:tc>
        <w:tc>
          <w:tcPr>
            <w:tcW w:w="128" w:type="pct"/>
            <w:tcBorders>
              <w:top w:val="nil"/>
              <w:left w:val="nil"/>
              <w:bottom w:val="single" w:sz="4" w:space="0" w:color="auto"/>
              <w:right w:val="nil"/>
            </w:tcBorders>
          </w:tcPr>
          <w:p w14:paraId="58465209" w14:textId="77777777" w:rsidR="00B478A5" w:rsidRPr="004B0C96" w:rsidRDefault="00B478A5" w:rsidP="00F80FAC">
            <w:pPr>
              <w:spacing w:before="0" w:after="0"/>
              <w:rPr>
                <w:rFonts w:cs="Arial"/>
                <w:sz w:val="20"/>
              </w:rPr>
            </w:pPr>
          </w:p>
        </w:tc>
        <w:tc>
          <w:tcPr>
            <w:tcW w:w="743" w:type="pct"/>
            <w:tcBorders>
              <w:top w:val="nil"/>
              <w:left w:val="nil"/>
              <w:bottom w:val="single" w:sz="4" w:space="0" w:color="auto"/>
              <w:right w:val="nil"/>
            </w:tcBorders>
          </w:tcPr>
          <w:p w14:paraId="1CC61AA2" w14:textId="77777777" w:rsidR="00B478A5" w:rsidRPr="004B0C96" w:rsidRDefault="00B478A5" w:rsidP="00F80FAC">
            <w:pPr>
              <w:spacing w:before="0" w:after="0"/>
              <w:jc w:val="right"/>
              <w:rPr>
                <w:rFonts w:cs="Arial"/>
                <w:sz w:val="20"/>
              </w:rPr>
            </w:pPr>
          </w:p>
        </w:tc>
        <w:tc>
          <w:tcPr>
            <w:tcW w:w="154" w:type="pct"/>
            <w:tcBorders>
              <w:top w:val="nil"/>
              <w:left w:val="nil"/>
              <w:bottom w:val="single" w:sz="4" w:space="0" w:color="auto"/>
              <w:right w:val="nil"/>
            </w:tcBorders>
          </w:tcPr>
          <w:p w14:paraId="76F879E3" w14:textId="77777777" w:rsidR="00B478A5" w:rsidRPr="004B0C96" w:rsidRDefault="00B478A5" w:rsidP="00F80FAC">
            <w:pPr>
              <w:spacing w:before="0" w:after="0"/>
              <w:jc w:val="right"/>
              <w:rPr>
                <w:rFonts w:cs="Arial"/>
                <w:sz w:val="20"/>
              </w:rPr>
            </w:pPr>
          </w:p>
        </w:tc>
        <w:tc>
          <w:tcPr>
            <w:tcW w:w="744" w:type="pct"/>
            <w:tcBorders>
              <w:top w:val="nil"/>
              <w:left w:val="nil"/>
              <w:bottom w:val="single" w:sz="4" w:space="0" w:color="auto"/>
              <w:right w:val="nil"/>
            </w:tcBorders>
          </w:tcPr>
          <w:p w14:paraId="3568ECC8" w14:textId="77777777" w:rsidR="00B478A5" w:rsidRPr="004B0C96" w:rsidRDefault="00B478A5" w:rsidP="00F80FAC">
            <w:pPr>
              <w:spacing w:before="0" w:after="0"/>
              <w:jc w:val="right"/>
              <w:rPr>
                <w:rFonts w:cs="Arial"/>
                <w:sz w:val="20"/>
              </w:rPr>
            </w:pPr>
            <w:r w:rsidRPr="004B0C96">
              <w:rPr>
                <w:rFonts w:cs="Arial"/>
                <w:sz w:val="20"/>
              </w:rPr>
              <w:t>XX </w:t>
            </w:r>
          </w:p>
        </w:tc>
      </w:tr>
      <w:tr w:rsidR="00B478A5" w:rsidRPr="004B0C96" w14:paraId="65A4FED0" w14:textId="77777777" w:rsidTr="005117F9">
        <w:tc>
          <w:tcPr>
            <w:tcW w:w="3231" w:type="pct"/>
            <w:tcBorders>
              <w:top w:val="single" w:sz="4" w:space="0" w:color="auto"/>
              <w:left w:val="nil"/>
              <w:bottom w:val="nil"/>
              <w:right w:val="nil"/>
            </w:tcBorders>
          </w:tcPr>
          <w:p w14:paraId="4BDC8DD0" w14:textId="77777777" w:rsidR="00B478A5" w:rsidRPr="004B0C96" w:rsidRDefault="00B478A5" w:rsidP="00F80FAC">
            <w:pPr>
              <w:spacing w:before="0" w:after="0"/>
              <w:rPr>
                <w:rFonts w:cs="Arial"/>
                <w:sz w:val="20"/>
              </w:rPr>
            </w:pPr>
          </w:p>
        </w:tc>
        <w:tc>
          <w:tcPr>
            <w:tcW w:w="128" w:type="pct"/>
            <w:tcBorders>
              <w:top w:val="single" w:sz="4" w:space="0" w:color="auto"/>
              <w:left w:val="nil"/>
              <w:bottom w:val="nil"/>
              <w:right w:val="nil"/>
            </w:tcBorders>
          </w:tcPr>
          <w:p w14:paraId="67393AF4" w14:textId="77777777" w:rsidR="00B478A5" w:rsidRPr="004B0C96" w:rsidRDefault="00B478A5" w:rsidP="00F80FAC">
            <w:pPr>
              <w:spacing w:before="0" w:after="0"/>
              <w:rPr>
                <w:rFonts w:cs="Arial"/>
                <w:sz w:val="20"/>
              </w:rPr>
            </w:pPr>
          </w:p>
        </w:tc>
        <w:tc>
          <w:tcPr>
            <w:tcW w:w="743" w:type="pct"/>
            <w:tcBorders>
              <w:top w:val="single" w:sz="4" w:space="0" w:color="auto"/>
              <w:left w:val="nil"/>
              <w:bottom w:val="nil"/>
              <w:right w:val="nil"/>
            </w:tcBorders>
          </w:tcPr>
          <w:p w14:paraId="19978D0B" w14:textId="77777777" w:rsidR="00B478A5" w:rsidRPr="004B0C96" w:rsidRDefault="00B478A5" w:rsidP="00F80FAC">
            <w:pPr>
              <w:spacing w:before="0" w:after="0"/>
              <w:jc w:val="right"/>
              <w:rPr>
                <w:rFonts w:cs="Arial"/>
                <w:sz w:val="20"/>
              </w:rPr>
            </w:pPr>
            <w:r w:rsidRPr="004B0C96">
              <w:rPr>
                <w:rFonts w:cs="Arial"/>
                <w:sz w:val="20"/>
              </w:rPr>
              <w:t>XX </w:t>
            </w:r>
          </w:p>
        </w:tc>
        <w:tc>
          <w:tcPr>
            <w:tcW w:w="154" w:type="pct"/>
            <w:tcBorders>
              <w:top w:val="single" w:sz="4" w:space="0" w:color="auto"/>
              <w:left w:val="nil"/>
              <w:bottom w:val="nil"/>
              <w:right w:val="nil"/>
            </w:tcBorders>
          </w:tcPr>
          <w:p w14:paraId="660A8FC6" w14:textId="77777777" w:rsidR="00B478A5" w:rsidRPr="004B0C96" w:rsidRDefault="00B478A5" w:rsidP="00F80FAC">
            <w:pPr>
              <w:spacing w:before="0" w:after="0"/>
              <w:jc w:val="right"/>
              <w:rPr>
                <w:rFonts w:cs="Arial"/>
                <w:sz w:val="20"/>
              </w:rPr>
            </w:pPr>
          </w:p>
        </w:tc>
        <w:tc>
          <w:tcPr>
            <w:tcW w:w="744" w:type="pct"/>
            <w:tcBorders>
              <w:top w:val="single" w:sz="4" w:space="0" w:color="auto"/>
              <w:left w:val="nil"/>
              <w:bottom w:val="nil"/>
              <w:right w:val="nil"/>
            </w:tcBorders>
          </w:tcPr>
          <w:p w14:paraId="3E3A8249" w14:textId="77777777" w:rsidR="00B478A5" w:rsidRPr="004B0C96" w:rsidRDefault="00B478A5" w:rsidP="00F80FAC">
            <w:pPr>
              <w:spacing w:before="0" w:after="0"/>
              <w:jc w:val="right"/>
              <w:rPr>
                <w:rFonts w:cs="Arial"/>
                <w:sz w:val="20"/>
              </w:rPr>
            </w:pPr>
            <w:r w:rsidRPr="004B0C96">
              <w:rPr>
                <w:rFonts w:cs="Arial"/>
                <w:sz w:val="20"/>
              </w:rPr>
              <w:t>XX </w:t>
            </w:r>
          </w:p>
        </w:tc>
      </w:tr>
      <w:tr w:rsidR="00B478A5" w:rsidRPr="004B0C96" w14:paraId="2C47A9CD" w14:textId="77777777" w:rsidTr="005117F9">
        <w:tc>
          <w:tcPr>
            <w:tcW w:w="3231" w:type="pct"/>
            <w:tcBorders>
              <w:top w:val="nil"/>
              <w:left w:val="nil"/>
              <w:bottom w:val="single" w:sz="12" w:space="0" w:color="auto"/>
              <w:right w:val="nil"/>
            </w:tcBorders>
          </w:tcPr>
          <w:p w14:paraId="05D058AB" w14:textId="77777777" w:rsidR="00B478A5" w:rsidRPr="004B0C96" w:rsidRDefault="00B478A5" w:rsidP="00F80FAC">
            <w:pPr>
              <w:pStyle w:val="Texteprincipal"/>
              <w:spacing w:before="0" w:after="0"/>
              <w:rPr>
                <w:rFonts w:ascii="Arial" w:hAnsi="Arial" w:cs="Arial"/>
                <w:sz w:val="20"/>
                <w:szCs w:val="20"/>
              </w:rPr>
            </w:pPr>
            <w:r w:rsidRPr="004B0C96">
              <w:rPr>
                <w:rFonts w:ascii="Arial" w:hAnsi="Arial" w:cs="Arial"/>
                <w:sz w:val="20"/>
                <w:szCs w:val="20"/>
              </w:rPr>
              <w:t>Moins la provision pour créances douteuses</w:t>
            </w:r>
          </w:p>
        </w:tc>
        <w:tc>
          <w:tcPr>
            <w:tcW w:w="128" w:type="pct"/>
            <w:tcBorders>
              <w:top w:val="nil"/>
              <w:left w:val="nil"/>
              <w:bottom w:val="single" w:sz="12" w:space="0" w:color="auto"/>
              <w:right w:val="nil"/>
            </w:tcBorders>
          </w:tcPr>
          <w:p w14:paraId="24E64933" w14:textId="77777777" w:rsidR="00B478A5" w:rsidRPr="004B0C96" w:rsidRDefault="00B478A5" w:rsidP="00F80FAC">
            <w:pPr>
              <w:pStyle w:val="Texteprincipal"/>
              <w:spacing w:before="0" w:after="0"/>
              <w:rPr>
                <w:rFonts w:ascii="Arial" w:hAnsi="Arial" w:cs="Arial"/>
                <w:sz w:val="20"/>
                <w:szCs w:val="20"/>
              </w:rPr>
            </w:pPr>
          </w:p>
        </w:tc>
        <w:tc>
          <w:tcPr>
            <w:tcW w:w="743" w:type="pct"/>
            <w:tcBorders>
              <w:top w:val="nil"/>
              <w:left w:val="nil"/>
              <w:bottom w:val="single" w:sz="12" w:space="0" w:color="auto"/>
              <w:right w:val="nil"/>
            </w:tcBorders>
          </w:tcPr>
          <w:p w14:paraId="31930265" w14:textId="77777777" w:rsidR="00B478A5" w:rsidRPr="004B0C96" w:rsidRDefault="00B478A5" w:rsidP="00F80FAC">
            <w:pPr>
              <w:pStyle w:val="Texteprincipal"/>
              <w:spacing w:before="0" w:after="0"/>
              <w:jc w:val="right"/>
              <w:rPr>
                <w:rFonts w:ascii="Arial" w:hAnsi="Arial" w:cs="Arial"/>
                <w:sz w:val="20"/>
                <w:szCs w:val="20"/>
              </w:rPr>
            </w:pPr>
            <w:r w:rsidRPr="004B0C96">
              <w:rPr>
                <w:rFonts w:ascii="Arial" w:hAnsi="Arial" w:cs="Arial"/>
                <w:sz w:val="20"/>
                <w:szCs w:val="20"/>
              </w:rPr>
              <w:t>(XX)</w:t>
            </w:r>
          </w:p>
        </w:tc>
        <w:tc>
          <w:tcPr>
            <w:tcW w:w="154" w:type="pct"/>
            <w:tcBorders>
              <w:top w:val="nil"/>
              <w:left w:val="nil"/>
              <w:bottom w:val="single" w:sz="12" w:space="0" w:color="auto"/>
              <w:right w:val="nil"/>
            </w:tcBorders>
          </w:tcPr>
          <w:p w14:paraId="6FCFA080" w14:textId="77777777" w:rsidR="00B478A5" w:rsidRPr="004B0C96" w:rsidRDefault="00B478A5" w:rsidP="00F80FAC">
            <w:pPr>
              <w:pStyle w:val="Texteprincipal"/>
              <w:spacing w:before="0" w:after="0"/>
              <w:jc w:val="right"/>
              <w:rPr>
                <w:rFonts w:ascii="Arial" w:hAnsi="Arial" w:cs="Arial"/>
                <w:sz w:val="20"/>
                <w:szCs w:val="20"/>
              </w:rPr>
            </w:pPr>
          </w:p>
        </w:tc>
        <w:tc>
          <w:tcPr>
            <w:tcW w:w="744" w:type="pct"/>
            <w:tcBorders>
              <w:top w:val="nil"/>
              <w:left w:val="nil"/>
              <w:bottom w:val="single" w:sz="12" w:space="0" w:color="auto"/>
              <w:right w:val="nil"/>
            </w:tcBorders>
          </w:tcPr>
          <w:p w14:paraId="0B4D371A" w14:textId="77777777" w:rsidR="00B478A5" w:rsidRPr="004B0C96" w:rsidRDefault="00B478A5" w:rsidP="00F80FAC">
            <w:pPr>
              <w:pStyle w:val="Texteprincipal"/>
              <w:spacing w:before="0" w:after="0"/>
              <w:jc w:val="right"/>
              <w:rPr>
                <w:rFonts w:ascii="Arial" w:hAnsi="Arial" w:cs="Arial"/>
                <w:sz w:val="20"/>
                <w:szCs w:val="20"/>
              </w:rPr>
            </w:pPr>
            <w:r w:rsidRPr="004B0C96">
              <w:rPr>
                <w:rFonts w:ascii="Arial" w:hAnsi="Arial" w:cs="Arial"/>
                <w:sz w:val="20"/>
                <w:szCs w:val="20"/>
              </w:rPr>
              <w:t>(XX)</w:t>
            </w:r>
          </w:p>
        </w:tc>
      </w:tr>
      <w:tr w:rsidR="00B478A5" w:rsidRPr="004B0C96" w14:paraId="74476764" w14:textId="77777777" w:rsidTr="005117F9">
        <w:tc>
          <w:tcPr>
            <w:tcW w:w="3231" w:type="pct"/>
            <w:tcBorders>
              <w:top w:val="single" w:sz="12" w:space="0" w:color="auto"/>
              <w:left w:val="nil"/>
              <w:bottom w:val="single" w:sz="4" w:space="0" w:color="auto"/>
              <w:right w:val="nil"/>
            </w:tcBorders>
          </w:tcPr>
          <w:p w14:paraId="5449F0A4" w14:textId="77777777" w:rsidR="00B478A5" w:rsidRPr="004B0C96" w:rsidRDefault="00B478A5" w:rsidP="00F80FAC">
            <w:pPr>
              <w:pStyle w:val="Texteprincipal"/>
              <w:spacing w:before="0" w:after="0"/>
              <w:rPr>
                <w:rFonts w:ascii="Arial" w:hAnsi="Arial" w:cs="Arial"/>
                <w:sz w:val="20"/>
                <w:szCs w:val="20"/>
              </w:rPr>
            </w:pPr>
          </w:p>
        </w:tc>
        <w:tc>
          <w:tcPr>
            <w:tcW w:w="128" w:type="pct"/>
            <w:tcBorders>
              <w:top w:val="single" w:sz="12" w:space="0" w:color="auto"/>
              <w:left w:val="nil"/>
              <w:bottom w:val="single" w:sz="4" w:space="0" w:color="auto"/>
              <w:right w:val="nil"/>
            </w:tcBorders>
          </w:tcPr>
          <w:p w14:paraId="33A1B53F" w14:textId="77777777" w:rsidR="00B478A5" w:rsidRPr="004B0C96" w:rsidRDefault="00B478A5" w:rsidP="00F80FAC">
            <w:pPr>
              <w:pStyle w:val="Texteprincipal"/>
              <w:spacing w:before="0" w:after="0"/>
              <w:rPr>
                <w:rFonts w:ascii="Arial" w:hAnsi="Arial" w:cs="Arial"/>
                <w:sz w:val="20"/>
                <w:szCs w:val="20"/>
              </w:rPr>
            </w:pPr>
          </w:p>
        </w:tc>
        <w:tc>
          <w:tcPr>
            <w:tcW w:w="743" w:type="pct"/>
            <w:tcBorders>
              <w:top w:val="single" w:sz="12" w:space="0" w:color="auto"/>
              <w:left w:val="nil"/>
              <w:bottom w:val="single" w:sz="4" w:space="0" w:color="auto"/>
              <w:right w:val="nil"/>
            </w:tcBorders>
          </w:tcPr>
          <w:p w14:paraId="5DB2FA6A" w14:textId="77777777" w:rsidR="00B478A5" w:rsidRPr="004B0C96" w:rsidRDefault="00B478A5" w:rsidP="00F80FAC">
            <w:pPr>
              <w:pStyle w:val="Texteprincipal"/>
              <w:spacing w:before="0" w:after="0"/>
              <w:jc w:val="right"/>
              <w:rPr>
                <w:rFonts w:ascii="Arial" w:hAnsi="Arial" w:cs="Arial"/>
                <w:sz w:val="20"/>
                <w:szCs w:val="20"/>
              </w:rPr>
            </w:pPr>
            <w:r w:rsidRPr="004B0C96">
              <w:rPr>
                <w:rFonts w:ascii="Arial" w:hAnsi="Arial" w:cs="Arial"/>
                <w:sz w:val="20"/>
                <w:szCs w:val="20"/>
              </w:rPr>
              <w:t>XX</w:t>
            </w:r>
          </w:p>
        </w:tc>
        <w:tc>
          <w:tcPr>
            <w:tcW w:w="154" w:type="pct"/>
            <w:tcBorders>
              <w:top w:val="single" w:sz="12" w:space="0" w:color="auto"/>
              <w:left w:val="nil"/>
              <w:bottom w:val="single" w:sz="4" w:space="0" w:color="auto"/>
              <w:right w:val="nil"/>
            </w:tcBorders>
          </w:tcPr>
          <w:p w14:paraId="363DAE1E" w14:textId="77777777" w:rsidR="00B478A5" w:rsidRPr="004B0C96" w:rsidRDefault="00B478A5" w:rsidP="00F80FAC">
            <w:pPr>
              <w:pStyle w:val="Texteprincipal"/>
              <w:spacing w:before="0" w:after="0"/>
              <w:jc w:val="right"/>
              <w:rPr>
                <w:rFonts w:ascii="Arial" w:hAnsi="Arial" w:cs="Arial"/>
                <w:sz w:val="20"/>
                <w:szCs w:val="20"/>
              </w:rPr>
            </w:pPr>
          </w:p>
        </w:tc>
        <w:tc>
          <w:tcPr>
            <w:tcW w:w="744" w:type="pct"/>
            <w:tcBorders>
              <w:top w:val="single" w:sz="12" w:space="0" w:color="auto"/>
              <w:left w:val="nil"/>
              <w:bottom w:val="single" w:sz="4" w:space="0" w:color="auto"/>
              <w:right w:val="nil"/>
            </w:tcBorders>
          </w:tcPr>
          <w:p w14:paraId="774D872B" w14:textId="77777777" w:rsidR="00B478A5" w:rsidRPr="004B0C96" w:rsidRDefault="00B478A5" w:rsidP="00F80FAC">
            <w:pPr>
              <w:pStyle w:val="Texteprincipal"/>
              <w:spacing w:before="0" w:after="0"/>
              <w:jc w:val="right"/>
              <w:rPr>
                <w:rFonts w:ascii="Arial" w:hAnsi="Arial" w:cs="Arial"/>
                <w:sz w:val="20"/>
                <w:szCs w:val="20"/>
              </w:rPr>
            </w:pPr>
            <w:r w:rsidRPr="004B0C96">
              <w:rPr>
                <w:rFonts w:ascii="Arial" w:hAnsi="Arial" w:cs="Arial"/>
                <w:sz w:val="20"/>
                <w:szCs w:val="20"/>
              </w:rPr>
              <w:t>XX</w:t>
            </w:r>
          </w:p>
        </w:tc>
      </w:tr>
    </w:tbl>
    <w:p w14:paraId="72566162" w14:textId="75B92A75" w:rsidR="00B478A5" w:rsidRPr="005C3983" w:rsidRDefault="00B478A5" w:rsidP="00F80FAC">
      <w:r w:rsidRPr="005C3983">
        <w:t xml:space="preserve">Les variations, au cours de l’exercice, du compte de provision pour créances douteuses </w:t>
      </w:r>
      <w:r>
        <w:t>s’établi</w:t>
      </w:r>
      <w:r w:rsidR="00C17F84">
        <w:t>ssen</w:t>
      </w:r>
      <w:r>
        <w:t xml:space="preserve">t </w:t>
      </w:r>
      <w:r w:rsidRPr="005C3983">
        <w:t>comme suit :</w:t>
      </w:r>
    </w:p>
    <w:tbl>
      <w:tblPr>
        <w:tblW w:w="5000" w:type="pct"/>
        <w:tblBorders>
          <w:top w:val="single" w:sz="4" w:space="0" w:color="auto"/>
          <w:bottom w:val="single" w:sz="4" w:space="0" w:color="auto"/>
        </w:tblBorders>
        <w:tblLook w:val="04A0" w:firstRow="1" w:lastRow="0" w:firstColumn="1" w:lastColumn="0" w:noHBand="0" w:noVBand="1"/>
      </w:tblPr>
      <w:tblGrid>
        <w:gridCol w:w="7062"/>
        <w:gridCol w:w="1578"/>
      </w:tblGrid>
      <w:tr w:rsidR="00B478A5" w:rsidRPr="005C3983" w14:paraId="27AF1A78" w14:textId="77777777" w:rsidTr="005117F9">
        <w:tc>
          <w:tcPr>
            <w:tcW w:w="4087" w:type="pct"/>
            <w:tcBorders>
              <w:top w:val="single" w:sz="4" w:space="0" w:color="auto"/>
              <w:left w:val="nil"/>
              <w:bottom w:val="nil"/>
              <w:right w:val="nil"/>
            </w:tcBorders>
          </w:tcPr>
          <w:p w14:paraId="76E2E8C1" w14:textId="77777777" w:rsidR="00B478A5" w:rsidRPr="00F80FAC" w:rsidRDefault="00B478A5" w:rsidP="00F80FAC">
            <w:pPr>
              <w:pStyle w:val="Texteprincipal"/>
              <w:spacing w:before="0" w:after="0"/>
              <w:rPr>
                <w:rFonts w:ascii="Arial" w:hAnsi="Arial" w:cs="Arial"/>
                <w:sz w:val="20"/>
                <w:szCs w:val="20"/>
              </w:rPr>
            </w:pPr>
            <w:r w:rsidRPr="00F80FAC">
              <w:rPr>
                <w:rFonts w:ascii="Arial" w:hAnsi="Arial" w:cs="Arial"/>
                <w:sz w:val="20"/>
                <w:szCs w:val="20"/>
              </w:rPr>
              <w:t>Solde au début</w:t>
            </w:r>
          </w:p>
        </w:tc>
        <w:tc>
          <w:tcPr>
            <w:tcW w:w="913" w:type="pct"/>
            <w:tcBorders>
              <w:top w:val="single" w:sz="4" w:space="0" w:color="auto"/>
              <w:left w:val="nil"/>
              <w:bottom w:val="nil"/>
              <w:right w:val="nil"/>
            </w:tcBorders>
          </w:tcPr>
          <w:p w14:paraId="7A083390" w14:textId="77777777" w:rsidR="00B478A5" w:rsidRPr="00F80FAC" w:rsidRDefault="00B478A5" w:rsidP="00F80FAC">
            <w:pPr>
              <w:pStyle w:val="Texteprincipal"/>
              <w:spacing w:before="0" w:after="0"/>
              <w:jc w:val="right"/>
              <w:rPr>
                <w:rFonts w:ascii="Arial" w:hAnsi="Arial" w:cs="Arial"/>
                <w:sz w:val="20"/>
                <w:szCs w:val="20"/>
              </w:rPr>
            </w:pPr>
            <w:r w:rsidRPr="00F80FAC">
              <w:rPr>
                <w:rFonts w:ascii="Arial" w:hAnsi="Arial" w:cs="Arial"/>
                <w:sz w:val="20"/>
                <w:szCs w:val="20"/>
              </w:rPr>
              <w:tab/>
              <w:t>xx</w:t>
            </w:r>
          </w:p>
        </w:tc>
      </w:tr>
      <w:tr w:rsidR="00B478A5" w:rsidRPr="005C3983" w14:paraId="07FDEC3C" w14:textId="77777777" w:rsidTr="005117F9">
        <w:tc>
          <w:tcPr>
            <w:tcW w:w="4087" w:type="pct"/>
            <w:tcBorders>
              <w:top w:val="nil"/>
              <w:left w:val="nil"/>
              <w:bottom w:val="nil"/>
              <w:right w:val="nil"/>
            </w:tcBorders>
          </w:tcPr>
          <w:p w14:paraId="03972A84" w14:textId="77777777" w:rsidR="00B478A5" w:rsidRPr="00F80FAC" w:rsidRDefault="00B478A5" w:rsidP="00F80FAC">
            <w:pPr>
              <w:pStyle w:val="Texteprincipal"/>
              <w:spacing w:before="0" w:after="0"/>
              <w:rPr>
                <w:rFonts w:ascii="Arial" w:hAnsi="Arial" w:cs="Arial"/>
                <w:sz w:val="20"/>
                <w:szCs w:val="20"/>
              </w:rPr>
            </w:pPr>
            <w:r w:rsidRPr="00F80FAC">
              <w:rPr>
                <w:rFonts w:ascii="Arial" w:hAnsi="Arial" w:cs="Arial"/>
                <w:sz w:val="20"/>
                <w:szCs w:val="20"/>
              </w:rPr>
              <w:t>Provision comptabilisée aux résultats de l’exercice</w:t>
            </w:r>
          </w:p>
        </w:tc>
        <w:tc>
          <w:tcPr>
            <w:tcW w:w="913" w:type="pct"/>
            <w:tcBorders>
              <w:top w:val="nil"/>
              <w:left w:val="nil"/>
              <w:bottom w:val="nil"/>
              <w:right w:val="nil"/>
            </w:tcBorders>
          </w:tcPr>
          <w:p w14:paraId="5946B0EA" w14:textId="77777777" w:rsidR="00B478A5" w:rsidRPr="00F80FAC" w:rsidRDefault="00B478A5" w:rsidP="00F80FAC">
            <w:pPr>
              <w:pStyle w:val="Texteprincipal"/>
              <w:spacing w:before="0" w:after="0"/>
              <w:jc w:val="right"/>
              <w:rPr>
                <w:rFonts w:ascii="Arial" w:hAnsi="Arial" w:cs="Arial"/>
                <w:sz w:val="20"/>
                <w:szCs w:val="20"/>
              </w:rPr>
            </w:pPr>
            <w:r w:rsidRPr="00F80FAC">
              <w:rPr>
                <w:rFonts w:ascii="Arial" w:hAnsi="Arial" w:cs="Arial"/>
                <w:sz w:val="20"/>
                <w:szCs w:val="20"/>
              </w:rPr>
              <w:t>xx</w:t>
            </w:r>
          </w:p>
        </w:tc>
      </w:tr>
      <w:tr w:rsidR="00B478A5" w:rsidRPr="005C3983" w14:paraId="5B1FB8E1" w14:textId="77777777" w:rsidTr="005117F9">
        <w:tc>
          <w:tcPr>
            <w:tcW w:w="4087" w:type="pct"/>
            <w:tcBorders>
              <w:top w:val="nil"/>
              <w:left w:val="nil"/>
              <w:bottom w:val="single" w:sz="4" w:space="0" w:color="auto"/>
              <w:right w:val="nil"/>
            </w:tcBorders>
          </w:tcPr>
          <w:p w14:paraId="335C6A80" w14:textId="77777777" w:rsidR="00B478A5" w:rsidRPr="00F80FAC" w:rsidRDefault="00B478A5" w:rsidP="00F80FAC">
            <w:pPr>
              <w:pStyle w:val="Texteprincipal"/>
              <w:spacing w:before="0" w:after="0"/>
              <w:rPr>
                <w:rFonts w:ascii="Arial" w:hAnsi="Arial" w:cs="Arial"/>
                <w:sz w:val="20"/>
                <w:szCs w:val="20"/>
              </w:rPr>
            </w:pPr>
            <w:r w:rsidRPr="00F80FAC">
              <w:rPr>
                <w:rFonts w:ascii="Arial" w:hAnsi="Arial" w:cs="Arial"/>
                <w:sz w:val="20"/>
                <w:szCs w:val="20"/>
              </w:rPr>
              <w:t>Montants recouvrés</w:t>
            </w:r>
          </w:p>
        </w:tc>
        <w:tc>
          <w:tcPr>
            <w:tcW w:w="913" w:type="pct"/>
            <w:tcBorders>
              <w:top w:val="nil"/>
              <w:left w:val="nil"/>
              <w:bottom w:val="single" w:sz="4" w:space="0" w:color="auto"/>
              <w:right w:val="nil"/>
            </w:tcBorders>
          </w:tcPr>
          <w:p w14:paraId="7B6E8CE2" w14:textId="77777777" w:rsidR="00B478A5" w:rsidRPr="00F80FAC" w:rsidRDefault="00B478A5" w:rsidP="00F80FAC">
            <w:pPr>
              <w:pStyle w:val="Texteprincipal"/>
              <w:spacing w:before="0" w:after="0"/>
              <w:jc w:val="right"/>
              <w:rPr>
                <w:rFonts w:ascii="Arial" w:hAnsi="Arial" w:cs="Arial"/>
                <w:sz w:val="20"/>
                <w:szCs w:val="20"/>
              </w:rPr>
            </w:pPr>
            <w:r w:rsidRPr="00F80FAC">
              <w:rPr>
                <w:rFonts w:ascii="Arial" w:hAnsi="Arial" w:cs="Arial"/>
                <w:sz w:val="20"/>
                <w:szCs w:val="20"/>
              </w:rPr>
              <w:t>(xx)</w:t>
            </w:r>
          </w:p>
        </w:tc>
      </w:tr>
      <w:tr w:rsidR="00B478A5" w:rsidRPr="005C3983" w14:paraId="5EF8DB6B" w14:textId="77777777" w:rsidTr="005117F9">
        <w:tc>
          <w:tcPr>
            <w:tcW w:w="4087" w:type="pct"/>
            <w:tcBorders>
              <w:top w:val="single" w:sz="4" w:space="0" w:color="auto"/>
              <w:left w:val="nil"/>
              <w:bottom w:val="single" w:sz="12" w:space="0" w:color="auto"/>
              <w:right w:val="nil"/>
            </w:tcBorders>
          </w:tcPr>
          <w:p w14:paraId="6B047676" w14:textId="77777777" w:rsidR="00B478A5" w:rsidRPr="00F80FAC" w:rsidRDefault="00B478A5" w:rsidP="00F80FAC">
            <w:pPr>
              <w:pStyle w:val="Texteprincipal"/>
              <w:spacing w:before="0" w:after="0"/>
              <w:rPr>
                <w:rFonts w:ascii="Arial" w:hAnsi="Arial" w:cs="Arial"/>
                <w:sz w:val="20"/>
                <w:szCs w:val="20"/>
              </w:rPr>
            </w:pPr>
            <w:r w:rsidRPr="00F80FAC">
              <w:rPr>
                <w:rFonts w:ascii="Arial" w:hAnsi="Arial" w:cs="Arial"/>
                <w:sz w:val="20"/>
                <w:szCs w:val="20"/>
              </w:rPr>
              <w:t>Solde à la fin</w:t>
            </w:r>
          </w:p>
        </w:tc>
        <w:tc>
          <w:tcPr>
            <w:tcW w:w="913" w:type="pct"/>
            <w:tcBorders>
              <w:top w:val="single" w:sz="4" w:space="0" w:color="auto"/>
              <w:left w:val="nil"/>
              <w:bottom w:val="single" w:sz="12" w:space="0" w:color="auto"/>
              <w:right w:val="nil"/>
            </w:tcBorders>
          </w:tcPr>
          <w:p w14:paraId="25418E32" w14:textId="77777777" w:rsidR="00B478A5" w:rsidRPr="00F80FAC" w:rsidRDefault="00B478A5" w:rsidP="00F80FAC">
            <w:pPr>
              <w:pStyle w:val="Texteprincipal"/>
              <w:spacing w:before="0" w:after="0"/>
              <w:jc w:val="right"/>
              <w:rPr>
                <w:rFonts w:ascii="Arial" w:hAnsi="Arial" w:cs="Arial"/>
                <w:sz w:val="20"/>
                <w:szCs w:val="20"/>
              </w:rPr>
            </w:pPr>
            <w:r w:rsidRPr="00F80FAC">
              <w:rPr>
                <w:rFonts w:ascii="Arial" w:hAnsi="Arial" w:cs="Arial"/>
                <w:sz w:val="20"/>
                <w:szCs w:val="20"/>
              </w:rPr>
              <w:t>xx</w:t>
            </w:r>
          </w:p>
        </w:tc>
      </w:tr>
    </w:tbl>
    <w:p w14:paraId="0C068E1D" w14:textId="30C883C9" w:rsidR="00B478A5" w:rsidRPr="005C3983" w:rsidRDefault="00B478A5" w:rsidP="00F80FAC">
      <w:r w:rsidRPr="00D34571">
        <w:t>L</w:t>
      </w:r>
      <w:r w:rsidRPr="00D34571">
        <w:rPr>
          <w:i/>
        </w:rPr>
        <w:t>’</w:t>
      </w:r>
      <w:r w:rsidR="00BE4EAB">
        <w:rPr>
          <w:i/>
        </w:rPr>
        <w:t>o</w:t>
      </w:r>
      <w:r w:rsidR="00C70202">
        <w:rPr>
          <w:i/>
        </w:rPr>
        <w:t>rganisme municipal</w:t>
      </w:r>
      <w:r w:rsidR="00BE4EAB">
        <w:rPr>
          <w:i/>
        </w:rPr>
        <w:t xml:space="preserve"> </w:t>
      </w:r>
      <w:r w:rsidRPr="005C3983">
        <w:t>est d’avis que la provision pour créances douteuses est suffisante pour couvrir le risque de non-paiement.</w:t>
      </w:r>
    </w:p>
    <w:p w14:paraId="728693C6" w14:textId="690B2F19" w:rsidR="00B478A5" w:rsidRPr="00B21F9A" w:rsidRDefault="00B478A5" w:rsidP="00F80FAC">
      <w:pPr>
        <w:pStyle w:val="Titre4"/>
      </w:pPr>
      <w:bookmarkStart w:id="10" w:name="_Toc118905535"/>
      <w:r w:rsidRPr="00B21F9A">
        <w:t>Prêts</w:t>
      </w:r>
      <w:bookmarkEnd w:id="10"/>
    </w:p>
    <w:p w14:paraId="2FDFF756" w14:textId="358D1F8A" w:rsidR="00B478A5" w:rsidRPr="005C3983" w:rsidRDefault="00B478A5" w:rsidP="00F80FAC">
      <w:r w:rsidRPr="005C3983">
        <w:t>Le solde des prêts, déduction faite de la provision pour moins-values, présenté à l’état de la situation financière correspond à l’exposition maximale au risque de crédit.</w:t>
      </w:r>
    </w:p>
    <w:p w14:paraId="3E206101" w14:textId="60BA5714" w:rsidR="00B478A5" w:rsidRPr="005C3983" w:rsidRDefault="00B478A5" w:rsidP="00F80FAC">
      <w:r w:rsidRPr="00F80FAC">
        <w:lastRenderedPageBreak/>
        <w:t>L’</w:t>
      </w:r>
      <w:r w:rsidR="00BE4EAB" w:rsidRPr="00F80FAC">
        <w:t>o</w:t>
      </w:r>
      <w:r w:rsidR="00C70202" w:rsidRPr="00F80FAC">
        <w:t>rganisme municipal</w:t>
      </w:r>
      <w:r w:rsidR="00BE4EAB" w:rsidRPr="00F80FAC">
        <w:t xml:space="preserve"> </w:t>
      </w:r>
      <w:r w:rsidRPr="00F80FAC">
        <w:t>estime</w:t>
      </w:r>
      <w:r w:rsidRPr="005C3983">
        <w:t xml:space="preserve"> que les concentrations de risque de crédit relatives aux prêts sont limitées</w:t>
      </w:r>
      <w:r w:rsidR="0079416D">
        <w:t xml:space="preserve"> </w:t>
      </w:r>
      <w:r w:rsidR="0079416D" w:rsidRPr="00B21F9A">
        <w:rPr>
          <w:b/>
          <w:bCs/>
          <w:color w:val="FF0000"/>
        </w:rPr>
        <w:t>[à personnaliser en fonction des types de prêts de l’organisme municipal]</w:t>
      </w:r>
      <w:r w:rsidRPr="005C3983">
        <w:t>.</w:t>
      </w:r>
      <w:r w:rsidR="009C5DB5" w:rsidRPr="005C3983" w:rsidDel="009C5DB5">
        <w:t xml:space="preserve"> </w:t>
      </w:r>
    </w:p>
    <w:p w14:paraId="7B363721" w14:textId="6FF9CB7C" w:rsidR="00B478A5" w:rsidRPr="005C3983" w:rsidRDefault="00B478A5" w:rsidP="00F80FAC">
      <w:r w:rsidRPr="005C3983">
        <w:t xml:space="preserve">À la date de </w:t>
      </w:r>
      <w:r w:rsidRPr="009E1B58">
        <w:t xml:space="preserve">mise au point </w:t>
      </w:r>
      <w:r w:rsidR="00113C6B" w:rsidRPr="009E1B58">
        <w:t>définitive</w:t>
      </w:r>
      <w:r w:rsidR="00113C6B">
        <w:t xml:space="preserve"> </w:t>
      </w:r>
      <w:r w:rsidRPr="005C3983">
        <w:t xml:space="preserve">des états financiers, une évaluation des prêts est effectuée en considérant, notamment, les tendances historiques des </w:t>
      </w:r>
      <w:r>
        <w:t>emprunteurs</w:t>
      </w:r>
      <w:r w:rsidRPr="005C3983">
        <w:t xml:space="preserve">, les conditions actuelles et toute circonstance particulière connue à cette date. La provision pour moins-values est ajustée en conséquence, s’il y a lieu, pour traduire le degré de </w:t>
      </w:r>
      <w:proofErr w:type="spellStart"/>
      <w:r w:rsidRPr="005C3983">
        <w:t>recouvrabilité</w:t>
      </w:r>
      <w:proofErr w:type="spellEnd"/>
      <w:r w:rsidRPr="005C3983">
        <w:t xml:space="preserve"> et le risque de perte.</w:t>
      </w:r>
    </w:p>
    <w:p w14:paraId="69EDF009" w14:textId="3D5673B4" w:rsidR="00B478A5" w:rsidRDefault="00B478A5" w:rsidP="00F80FAC">
      <w:r w:rsidRPr="005C3983">
        <w:t xml:space="preserve">Des sûretés et des cautions totalisant </w:t>
      </w:r>
      <w:r w:rsidRPr="00F80FAC">
        <w:rPr>
          <w:b/>
          <w:bCs/>
          <w:color w:val="FF0000"/>
        </w:rPr>
        <w:t>X</w:t>
      </w:r>
      <w:r w:rsidR="0079416D" w:rsidRPr="00F80FAC">
        <w:rPr>
          <w:b/>
          <w:bCs/>
          <w:color w:val="FF0000"/>
        </w:rPr>
        <w:t>XX</w:t>
      </w:r>
      <w:r>
        <w:t xml:space="preserve"> de dollars</w:t>
      </w:r>
      <w:r w:rsidRPr="005C3983">
        <w:t xml:space="preserve"> atténuent le risque de crédit des prêts </w:t>
      </w:r>
      <w:r>
        <w:t xml:space="preserve">et sont intégrés dans l’évaluation de la provision pour moins-value de </w:t>
      </w:r>
      <w:r w:rsidRPr="005C3983">
        <w:t xml:space="preserve">sorte que l’exposition maximale au risque de crédit s’établit à </w:t>
      </w:r>
      <w:r w:rsidRPr="00F80FAC">
        <w:rPr>
          <w:b/>
          <w:bCs/>
          <w:color w:val="FF0000"/>
        </w:rPr>
        <w:t>X</w:t>
      </w:r>
      <w:r w:rsidR="0079416D" w:rsidRPr="00F80FAC">
        <w:rPr>
          <w:b/>
          <w:bCs/>
          <w:color w:val="FF0000"/>
        </w:rPr>
        <w:t>XX</w:t>
      </w:r>
      <w:r>
        <w:t xml:space="preserve"> de dollars </w:t>
      </w:r>
      <w:r w:rsidRPr="005C3983">
        <w:t>pour ces actifs financiers.</w:t>
      </w:r>
    </w:p>
    <w:p w14:paraId="681E7DA2" w14:textId="694E988E" w:rsidR="00B478A5" w:rsidRDefault="00B478A5" w:rsidP="00F80FAC">
      <w:r>
        <w:t>Les variations de la provision pour moins-value sur les prêts sont présentées à la note</w:t>
      </w:r>
      <w:r w:rsidR="00900866">
        <w:t> </w:t>
      </w:r>
      <w:r w:rsidR="00C0750D">
        <w:t>X</w:t>
      </w:r>
      <w:r>
        <w:t>.</w:t>
      </w:r>
    </w:p>
    <w:p w14:paraId="74C68D0F" w14:textId="77777777" w:rsidR="00B478A5" w:rsidRPr="00B21F9A" w:rsidRDefault="00B478A5" w:rsidP="00F80FAC">
      <w:pPr>
        <w:pStyle w:val="Titre4"/>
      </w:pPr>
      <w:bookmarkStart w:id="11" w:name="_Toc118905536"/>
      <w:r w:rsidRPr="00B21F9A">
        <w:t>Placements de portefeuille</w:t>
      </w:r>
      <w:bookmarkEnd w:id="11"/>
    </w:p>
    <w:p w14:paraId="73A91EA4" w14:textId="48F9D55C" w:rsidR="0085284D" w:rsidRDefault="0085284D" w:rsidP="00415B40">
      <w:r w:rsidRPr="009638AB">
        <w:t xml:space="preserve">L’organisme municipal atténue son risque associé aux placements de portefeuille en respectant ses politiques en matière d’investissement et de placement établies dans le cadre des limites imposées par les lois municipales, lesquelles décrivent les paramètres et les limites de concentration du risque de crédit. </w:t>
      </w:r>
      <w:r>
        <w:t>Il</w:t>
      </w:r>
      <w:r w:rsidRPr="009638AB">
        <w:t xml:space="preserve"> s’assure notamment d’évaluer régulièrement la cote de crédit de ses contreparties et d’investir majoritairement dans des titres émis par des institutions financières réputées ou par des gouvernements fédéral</w:t>
      </w:r>
      <w:r>
        <w:t>, provinciaux ou municipaux.</w:t>
      </w:r>
    </w:p>
    <w:p w14:paraId="5C462852" w14:textId="12E0F020" w:rsidR="00792C03" w:rsidRPr="009638AB" w:rsidRDefault="00792C03" w:rsidP="00415B40">
      <w:r w:rsidRPr="009638AB">
        <w:t>Lorsqu’un placement de portefeuille subit une baisse de valeur durable, sa valeur comptable est réduite pour tenir compte de cette moins-value, laquelle est imputée aux charges</w:t>
      </w:r>
      <w:r w:rsidR="005927E6">
        <w:t xml:space="preserve"> de l’exercice</w:t>
      </w:r>
      <w:r w:rsidRPr="009638AB">
        <w:t>. L’organisme municipal considère que la qualité de crédit des placements de portefeuille qui ne sont ni en souffrance ni dépréciés est adéquate.</w:t>
      </w:r>
    </w:p>
    <w:p w14:paraId="16F02D0E" w14:textId="6B6F3BA7" w:rsidR="00B478A5" w:rsidRPr="00B21F9A" w:rsidRDefault="00B478A5" w:rsidP="00F80FAC">
      <w:pPr>
        <w:pStyle w:val="Titre4"/>
      </w:pPr>
      <w:bookmarkStart w:id="12" w:name="_Toc118905537"/>
      <w:r w:rsidRPr="00B21F9A">
        <w:t>Dérivés</w:t>
      </w:r>
      <w:bookmarkEnd w:id="12"/>
      <w:r w:rsidR="00A46F1D">
        <w:t xml:space="preserve"> </w:t>
      </w:r>
      <w:r w:rsidR="00A46F1D" w:rsidRPr="00B21F9A">
        <w:t>(</w:t>
      </w:r>
      <w:r w:rsidR="00F80FAC" w:rsidRPr="00F80FAC">
        <w:rPr>
          <w:b/>
          <w:bCs/>
          <w:color w:val="FF0000"/>
        </w:rPr>
        <w:t>SI APPLICABLE</w:t>
      </w:r>
      <w:r w:rsidR="0026357E" w:rsidRPr="00B21F9A">
        <w:t>)</w:t>
      </w:r>
    </w:p>
    <w:p w14:paraId="16FD4316" w14:textId="6E149539" w:rsidR="00B478A5" w:rsidRPr="00DB2245" w:rsidRDefault="00B478A5" w:rsidP="00F80FAC">
      <w:r w:rsidRPr="00DB2245">
        <w:t>Les instruments financiers dérivés comportent un élément de risque de crédit dans l’éventualité du non-respect des obligations de la contrepartie. L’</w:t>
      </w:r>
      <w:r w:rsidR="0026357E">
        <w:t>o</w:t>
      </w:r>
      <w:r w:rsidR="00C70202">
        <w:t xml:space="preserve">rganisme municipal </w:t>
      </w:r>
      <w:r w:rsidRPr="00DB2245">
        <w:t>réduit ce risque en traitant avec des institutions financières reconnues.</w:t>
      </w:r>
    </w:p>
    <w:p w14:paraId="0D036409" w14:textId="77777777" w:rsidR="00B478A5" w:rsidRPr="005C3983" w:rsidRDefault="00B478A5" w:rsidP="00F80FAC">
      <w:pPr>
        <w:pStyle w:val="Titre3"/>
      </w:pPr>
      <w:bookmarkStart w:id="13" w:name="_Toc118905538"/>
      <w:r w:rsidRPr="005C3983">
        <w:t>Risque de liquidité</w:t>
      </w:r>
      <w:bookmarkEnd w:id="13"/>
    </w:p>
    <w:p w14:paraId="562153DB" w14:textId="19EE0208" w:rsidR="00B478A5" w:rsidRPr="005C3983" w:rsidRDefault="00B478A5" w:rsidP="00F80FAC">
      <w:r w:rsidRPr="005C3983">
        <w:t>Le risque de liquidité est le risque que l’</w:t>
      </w:r>
      <w:r w:rsidR="00C70202">
        <w:t>organisme municipal</w:t>
      </w:r>
      <w:r w:rsidRPr="005C3983">
        <w:t xml:space="preserve"> éprouve des difficultés à honorer ses engagements financiers. L’</w:t>
      </w:r>
      <w:r w:rsidR="00C70202">
        <w:t>organisme municipal</w:t>
      </w:r>
      <w:r w:rsidRPr="005C3983">
        <w:t xml:space="preserve"> gère ce risque en tenant com</w:t>
      </w:r>
      <w:r w:rsidRPr="00F80FAC">
        <w:t>pte de ses besoins opérationnels et en recourant à ses facilités de crédit. L’</w:t>
      </w:r>
      <w:r w:rsidR="00F14B1B" w:rsidRPr="00F80FAC">
        <w:t>o</w:t>
      </w:r>
      <w:r w:rsidR="00C70202" w:rsidRPr="00F80FAC">
        <w:t xml:space="preserve">rganisme municipal </w:t>
      </w:r>
      <w:r w:rsidRPr="00F80FAC">
        <w:t>établit</w:t>
      </w:r>
      <w:r w:rsidRPr="005C3983">
        <w:t xml:space="preserve"> des prévisions de trésorerie afin de s’assurer qu’</w:t>
      </w:r>
      <w:r w:rsidR="0086438C">
        <w:t>il</w:t>
      </w:r>
      <w:r w:rsidRPr="005C3983">
        <w:t xml:space="preserve"> dispose des fonds nécessaires pour satisfaire ses obligations. </w:t>
      </w:r>
    </w:p>
    <w:p w14:paraId="579AE74D" w14:textId="77777777" w:rsidR="00B478A5" w:rsidRDefault="00B478A5" w:rsidP="00F80FAC">
      <w:r w:rsidRPr="005C3983">
        <w:t>Les flux de trésorerie contractuels relatifs aux passifs financiers se détaillent comme suit</w:t>
      </w:r>
      <w:r>
        <w:t>.</w:t>
      </w:r>
    </w:p>
    <w:p w14:paraId="6CA860A4" w14:textId="77777777" w:rsidR="00B478A5" w:rsidRPr="00250A92" w:rsidRDefault="00B478A5" w:rsidP="00415B40">
      <w:pPr>
        <w:pStyle w:val="Texteprincipal"/>
        <w:rPr>
          <w:b/>
          <w:bCs/>
        </w:rPr>
      </w:pPr>
      <w:r>
        <w:tab/>
      </w:r>
      <w:r>
        <w:tab/>
      </w:r>
      <w:r>
        <w:tab/>
      </w:r>
      <w:r>
        <w:tab/>
      </w:r>
      <w:r>
        <w:tab/>
      </w:r>
      <w:r>
        <w:tab/>
      </w:r>
      <w:r>
        <w:tab/>
      </w:r>
      <w:r>
        <w:tab/>
      </w:r>
      <w:r>
        <w:tab/>
      </w:r>
      <w:r>
        <w:tab/>
        <w:t xml:space="preserve">        </w:t>
      </w:r>
      <w:r w:rsidRPr="00250A92">
        <w:rPr>
          <w:b/>
          <w:bCs/>
        </w:rPr>
        <w:t xml:space="preserve"> 20X2</w:t>
      </w:r>
    </w:p>
    <w:tbl>
      <w:tblPr>
        <w:tblW w:w="5000" w:type="pct"/>
        <w:jc w:val="center"/>
        <w:tblLook w:val="01E0" w:firstRow="1" w:lastRow="1" w:firstColumn="1" w:lastColumn="1" w:noHBand="0" w:noVBand="0"/>
      </w:tblPr>
      <w:tblGrid>
        <w:gridCol w:w="2356"/>
        <w:gridCol w:w="862"/>
        <w:gridCol w:w="266"/>
        <w:gridCol w:w="1090"/>
        <w:gridCol w:w="270"/>
        <w:gridCol w:w="1090"/>
        <w:gridCol w:w="270"/>
        <w:gridCol w:w="1090"/>
        <w:gridCol w:w="266"/>
        <w:gridCol w:w="1080"/>
      </w:tblGrid>
      <w:tr w:rsidR="00B478A5" w:rsidRPr="00250A92" w14:paraId="2F57D7ED" w14:textId="77777777" w:rsidTr="005117F9">
        <w:trPr>
          <w:trHeight w:val="404"/>
          <w:tblHeader/>
          <w:jc w:val="center"/>
        </w:trPr>
        <w:tc>
          <w:tcPr>
            <w:tcW w:w="1363" w:type="pct"/>
            <w:tcBorders>
              <w:top w:val="single" w:sz="4" w:space="0" w:color="auto"/>
              <w:left w:val="nil"/>
              <w:bottom w:val="single" w:sz="4" w:space="0" w:color="auto"/>
              <w:right w:val="nil"/>
            </w:tcBorders>
            <w:shd w:val="clear" w:color="auto" w:fill="E6E6E6"/>
            <w:vAlign w:val="bottom"/>
          </w:tcPr>
          <w:p w14:paraId="12907475" w14:textId="77777777" w:rsidR="00B478A5" w:rsidRPr="00250A92" w:rsidRDefault="00B478A5" w:rsidP="00415B40">
            <w:pPr>
              <w:pStyle w:val="chiffrestableau"/>
            </w:pPr>
          </w:p>
        </w:tc>
        <w:tc>
          <w:tcPr>
            <w:tcW w:w="499" w:type="pct"/>
            <w:tcBorders>
              <w:top w:val="single" w:sz="4" w:space="0" w:color="auto"/>
              <w:left w:val="nil"/>
              <w:bottom w:val="single" w:sz="4" w:space="0" w:color="auto"/>
              <w:right w:val="nil"/>
            </w:tcBorders>
            <w:shd w:val="clear" w:color="auto" w:fill="E6E6E6"/>
            <w:vAlign w:val="center"/>
          </w:tcPr>
          <w:p w14:paraId="4AD0702A" w14:textId="77777777" w:rsidR="00B478A5" w:rsidRPr="00250A92" w:rsidRDefault="00B478A5" w:rsidP="00415B40">
            <w:pPr>
              <w:pStyle w:val="chiffrestableau"/>
            </w:pPr>
            <w:r w:rsidRPr="00250A92">
              <w:t>Moins d’un an</w:t>
            </w:r>
          </w:p>
        </w:tc>
        <w:tc>
          <w:tcPr>
            <w:tcW w:w="154" w:type="pct"/>
            <w:tcBorders>
              <w:top w:val="single" w:sz="4" w:space="0" w:color="auto"/>
              <w:left w:val="nil"/>
              <w:bottom w:val="single" w:sz="4" w:space="0" w:color="auto"/>
              <w:right w:val="nil"/>
            </w:tcBorders>
            <w:shd w:val="clear" w:color="auto" w:fill="E6E6E6"/>
            <w:vAlign w:val="center"/>
          </w:tcPr>
          <w:p w14:paraId="396BD5EC" w14:textId="77777777" w:rsidR="00B478A5" w:rsidRPr="00250A92" w:rsidRDefault="00B478A5" w:rsidP="00415B40"/>
        </w:tc>
        <w:tc>
          <w:tcPr>
            <w:tcW w:w="631" w:type="pct"/>
            <w:tcBorders>
              <w:top w:val="single" w:sz="4" w:space="0" w:color="auto"/>
              <w:left w:val="nil"/>
              <w:bottom w:val="single" w:sz="4" w:space="0" w:color="auto"/>
              <w:right w:val="nil"/>
            </w:tcBorders>
            <w:shd w:val="clear" w:color="auto" w:fill="E6E6E6"/>
            <w:vAlign w:val="center"/>
          </w:tcPr>
          <w:p w14:paraId="78FA9054" w14:textId="77777777" w:rsidR="00B478A5" w:rsidRPr="00250A92" w:rsidRDefault="00B478A5" w:rsidP="00415B40">
            <w:pPr>
              <w:pStyle w:val="chiffrestableau"/>
            </w:pPr>
            <w:r w:rsidRPr="00250A92">
              <w:t>De 1 à 3</w:t>
            </w:r>
            <w:r>
              <w:t> </w:t>
            </w:r>
            <w:r w:rsidRPr="00250A92">
              <w:t>ans</w:t>
            </w:r>
          </w:p>
        </w:tc>
        <w:tc>
          <w:tcPr>
            <w:tcW w:w="156" w:type="pct"/>
            <w:tcBorders>
              <w:top w:val="single" w:sz="4" w:space="0" w:color="auto"/>
              <w:left w:val="nil"/>
              <w:bottom w:val="single" w:sz="4" w:space="0" w:color="auto"/>
              <w:right w:val="nil"/>
            </w:tcBorders>
            <w:shd w:val="clear" w:color="auto" w:fill="E6E6E6"/>
            <w:vAlign w:val="center"/>
          </w:tcPr>
          <w:p w14:paraId="3F7FDF4D" w14:textId="77777777" w:rsidR="00B478A5" w:rsidRPr="00250A92" w:rsidRDefault="00B478A5" w:rsidP="00415B40">
            <w:pPr>
              <w:pStyle w:val="chiffrestableau"/>
            </w:pPr>
          </w:p>
        </w:tc>
        <w:tc>
          <w:tcPr>
            <w:tcW w:w="631" w:type="pct"/>
            <w:tcBorders>
              <w:top w:val="single" w:sz="4" w:space="0" w:color="auto"/>
              <w:left w:val="nil"/>
              <w:bottom w:val="single" w:sz="4" w:space="0" w:color="auto"/>
              <w:right w:val="nil"/>
            </w:tcBorders>
            <w:shd w:val="clear" w:color="auto" w:fill="E6E6E6"/>
            <w:vAlign w:val="center"/>
          </w:tcPr>
          <w:p w14:paraId="27A65F52" w14:textId="77777777" w:rsidR="00B478A5" w:rsidRPr="00250A92" w:rsidRDefault="00B478A5" w:rsidP="00415B40">
            <w:pPr>
              <w:pStyle w:val="chiffrestableau"/>
            </w:pPr>
            <w:r w:rsidRPr="00250A92">
              <w:t>De 4 à 5</w:t>
            </w:r>
            <w:r>
              <w:t> </w:t>
            </w:r>
            <w:r w:rsidRPr="00250A92">
              <w:t>ans</w:t>
            </w:r>
          </w:p>
        </w:tc>
        <w:tc>
          <w:tcPr>
            <w:tcW w:w="156" w:type="pct"/>
            <w:tcBorders>
              <w:top w:val="single" w:sz="4" w:space="0" w:color="auto"/>
              <w:left w:val="nil"/>
              <w:bottom w:val="single" w:sz="4" w:space="0" w:color="auto"/>
              <w:right w:val="nil"/>
            </w:tcBorders>
            <w:shd w:val="clear" w:color="auto" w:fill="E6E6E6"/>
            <w:vAlign w:val="center"/>
          </w:tcPr>
          <w:p w14:paraId="34A3982B" w14:textId="77777777" w:rsidR="00B478A5" w:rsidRPr="00250A92" w:rsidRDefault="00B478A5" w:rsidP="00415B40"/>
        </w:tc>
        <w:tc>
          <w:tcPr>
            <w:tcW w:w="631" w:type="pct"/>
            <w:tcBorders>
              <w:top w:val="single" w:sz="4" w:space="0" w:color="auto"/>
              <w:left w:val="nil"/>
              <w:bottom w:val="single" w:sz="4" w:space="0" w:color="auto"/>
              <w:right w:val="nil"/>
            </w:tcBorders>
            <w:shd w:val="clear" w:color="auto" w:fill="E6E6E6"/>
            <w:vAlign w:val="center"/>
          </w:tcPr>
          <w:p w14:paraId="03117920" w14:textId="77777777" w:rsidR="00B478A5" w:rsidRPr="00250A92" w:rsidRDefault="00B478A5" w:rsidP="00415B40">
            <w:pPr>
              <w:pStyle w:val="chiffrestableau"/>
            </w:pPr>
            <w:r w:rsidRPr="00250A92">
              <w:t>Plus de 5</w:t>
            </w:r>
            <w:r>
              <w:t> </w:t>
            </w:r>
            <w:r w:rsidRPr="00250A92">
              <w:t>ans</w:t>
            </w:r>
          </w:p>
        </w:tc>
        <w:tc>
          <w:tcPr>
            <w:tcW w:w="154" w:type="pct"/>
            <w:tcBorders>
              <w:top w:val="single" w:sz="4" w:space="0" w:color="auto"/>
              <w:left w:val="nil"/>
              <w:bottom w:val="single" w:sz="4" w:space="0" w:color="auto"/>
              <w:right w:val="nil"/>
            </w:tcBorders>
            <w:shd w:val="clear" w:color="auto" w:fill="E6E6E6"/>
            <w:vAlign w:val="center"/>
          </w:tcPr>
          <w:p w14:paraId="50606963" w14:textId="77777777" w:rsidR="00B478A5" w:rsidRPr="00250A92" w:rsidRDefault="00B478A5" w:rsidP="00415B40">
            <w:pPr>
              <w:pStyle w:val="chiffrestableau"/>
            </w:pPr>
          </w:p>
        </w:tc>
        <w:tc>
          <w:tcPr>
            <w:tcW w:w="625" w:type="pct"/>
            <w:tcBorders>
              <w:top w:val="single" w:sz="4" w:space="0" w:color="auto"/>
              <w:left w:val="nil"/>
              <w:bottom w:val="single" w:sz="4" w:space="0" w:color="auto"/>
              <w:right w:val="nil"/>
            </w:tcBorders>
            <w:shd w:val="clear" w:color="auto" w:fill="E6E6E6"/>
            <w:vAlign w:val="center"/>
          </w:tcPr>
          <w:p w14:paraId="1DB7CD9E" w14:textId="77777777" w:rsidR="00B478A5" w:rsidRPr="00250A92" w:rsidRDefault="00B478A5" w:rsidP="00415B40">
            <w:pPr>
              <w:pStyle w:val="chiffrestableau"/>
            </w:pPr>
            <w:r w:rsidRPr="00250A92">
              <w:t>Total</w:t>
            </w:r>
          </w:p>
        </w:tc>
      </w:tr>
      <w:tr w:rsidR="00B478A5" w:rsidRPr="00250A92" w14:paraId="2DFA2E8E" w14:textId="77777777" w:rsidTr="005117F9">
        <w:trPr>
          <w:jc w:val="center"/>
        </w:trPr>
        <w:tc>
          <w:tcPr>
            <w:tcW w:w="1363" w:type="pct"/>
            <w:tcBorders>
              <w:top w:val="single" w:sz="4" w:space="0" w:color="auto"/>
            </w:tcBorders>
            <w:vAlign w:val="bottom"/>
          </w:tcPr>
          <w:p w14:paraId="58037B68" w14:textId="77777777" w:rsidR="00B478A5" w:rsidRPr="00250A92" w:rsidRDefault="00B478A5" w:rsidP="00415B40">
            <w:pPr>
              <w:pStyle w:val="chiffrestableau"/>
            </w:pPr>
          </w:p>
        </w:tc>
        <w:tc>
          <w:tcPr>
            <w:tcW w:w="499" w:type="pct"/>
            <w:tcBorders>
              <w:top w:val="single" w:sz="4" w:space="0" w:color="auto"/>
              <w:left w:val="nil"/>
              <w:bottom w:val="nil"/>
              <w:right w:val="nil"/>
            </w:tcBorders>
          </w:tcPr>
          <w:p w14:paraId="18A23C98" w14:textId="77777777" w:rsidR="00B478A5" w:rsidRPr="00250A92" w:rsidRDefault="00B478A5" w:rsidP="00415B40">
            <w:pPr>
              <w:pStyle w:val="chiffrestableau"/>
            </w:pPr>
          </w:p>
        </w:tc>
        <w:tc>
          <w:tcPr>
            <w:tcW w:w="154" w:type="pct"/>
            <w:tcBorders>
              <w:top w:val="single" w:sz="4" w:space="0" w:color="auto"/>
            </w:tcBorders>
            <w:vAlign w:val="bottom"/>
          </w:tcPr>
          <w:p w14:paraId="22FB57B5" w14:textId="77777777" w:rsidR="00B478A5" w:rsidRPr="00250A92" w:rsidRDefault="00B478A5" w:rsidP="00415B40">
            <w:pPr>
              <w:pStyle w:val="chiffrestableau"/>
            </w:pPr>
          </w:p>
        </w:tc>
        <w:tc>
          <w:tcPr>
            <w:tcW w:w="631" w:type="pct"/>
            <w:tcBorders>
              <w:top w:val="single" w:sz="4" w:space="0" w:color="auto"/>
              <w:left w:val="nil"/>
              <w:bottom w:val="nil"/>
              <w:right w:val="nil"/>
            </w:tcBorders>
            <w:vAlign w:val="bottom"/>
          </w:tcPr>
          <w:p w14:paraId="1F606EFB" w14:textId="77777777" w:rsidR="00B478A5" w:rsidRPr="00250A92" w:rsidRDefault="00B478A5" w:rsidP="00415B40">
            <w:pPr>
              <w:pStyle w:val="chiffrestableau"/>
            </w:pPr>
          </w:p>
        </w:tc>
        <w:tc>
          <w:tcPr>
            <w:tcW w:w="156" w:type="pct"/>
            <w:tcBorders>
              <w:top w:val="single" w:sz="4" w:space="0" w:color="auto"/>
            </w:tcBorders>
          </w:tcPr>
          <w:p w14:paraId="518E5DD0" w14:textId="77777777" w:rsidR="00B478A5" w:rsidRPr="00250A92" w:rsidRDefault="00B478A5" w:rsidP="00415B40">
            <w:pPr>
              <w:pStyle w:val="chiffrestableau"/>
            </w:pPr>
          </w:p>
        </w:tc>
        <w:tc>
          <w:tcPr>
            <w:tcW w:w="631" w:type="pct"/>
            <w:tcBorders>
              <w:top w:val="single" w:sz="4" w:space="0" w:color="auto"/>
              <w:left w:val="nil"/>
              <w:bottom w:val="nil"/>
              <w:right w:val="nil"/>
            </w:tcBorders>
          </w:tcPr>
          <w:p w14:paraId="5DB1CB1A" w14:textId="77777777" w:rsidR="00B478A5" w:rsidRPr="00250A92" w:rsidRDefault="00B478A5" w:rsidP="00415B40">
            <w:pPr>
              <w:pStyle w:val="chiffrestableau"/>
            </w:pPr>
          </w:p>
        </w:tc>
        <w:tc>
          <w:tcPr>
            <w:tcW w:w="156" w:type="pct"/>
            <w:tcBorders>
              <w:top w:val="single" w:sz="4" w:space="0" w:color="auto"/>
            </w:tcBorders>
            <w:vAlign w:val="bottom"/>
          </w:tcPr>
          <w:p w14:paraId="08C99CC9" w14:textId="77777777" w:rsidR="00B478A5" w:rsidRPr="00250A92" w:rsidRDefault="00B478A5" w:rsidP="00415B40">
            <w:pPr>
              <w:pStyle w:val="chiffrestableau"/>
            </w:pPr>
          </w:p>
        </w:tc>
        <w:tc>
          <w:tcPr>
            <w:tcW w:w="631" w:type="pct"/>
            <w:tcBorders>
              <w:top w:val="single" w:sz="4" w:space="0" w:color="auto"/>
              <w:left w:val="nil"/>
              <w:bottom w:val="nil"/>
              <w:right w:val="nil"/>
            </w:tcBorders>
            <w:vAlign w:val="bottom"/>
          </w:tcPr>
          <w:p w14:paraId="3990738E" w14:textId="77777777" w:rsidR="00B478A5" w:rsidRPr="00250A92" w:rsidRDefault="00B478A5" w:rsidP="00415B40">
            <w:pPr>
              <w:pStyle w:val="chiffrestableau"/>
            </w:pPr>
          </w:p>
        </w:tc>
        <w:tc>
          <w:tcPr>
            <w:tcW w:w="154" w:type="pct"/>
            <w:tcBorders>
              <w:top w:val="single" w:sz="4" w:space="0" w:color="auto"/>
            </w:tcBorders>
            <w:vAlign w:val="bottom"/>
          </w:tcPr>
          <w:p w14:paraId="75ADF2B0" w14:textId="77777777" w:rsidR="00B478A5" w:rsidRPr="00250A92" w:rsidRDefault="00B478A5" w:rsidP="00415B40">
            <w:pPr>
              <w:pStyle w:val="chiffrestableau"/>
            </w:pPr>
          </w:p>
        </w:tc>
        <w:tc>
          <w:tcPr>
            <w:tcW w:w="625" w:type="pct"/>
            <w:tcBorders>
              <w:top w:val="single" w:sz="4" w:space="0" w:color="auto"/>
            </w:tcBorders>
          </w:tcPr>
          <w:p w14:paraId="2D443D8E" w14:textId="77777777" w:rsidR="00B478A5" w:rsidRPr="00250A92" w:rsidRDefault="00B478A5" w:rsidP="00415B40">
            <w:pPr>
              <w:pStyle w:val="chiffrestableau"/>
            </w:pPr>
          </w:p>
        </w:tc>
      </w:tr>
      <w:tr w:rsidR="00B478A5" w:rsidRPr="00250A92" w14:paraId="1E6344AE" w14:textId="77777777" w:rsidTr="005117F9">
        <w:trPr>
          <w:jc w:val="center"/>
        </w:trPr>
        <w:tc>
          <w:tcPr>
            <w:tcW w:w="1363" w:type="pct"/>
            <w:vAlign w:val="bottom"/>
          </w:tcPr>
          <w:p w14:paraId="71D8B960" w14:textId="77777777" w:rsidR="00B478A5" w:rsidRPr="00250A92" w:rsidRDefault="00B478A5" w:rsidP="00415B40">
            <w:pPr>
              <w:pStyle w:val="chiffrestableau"/>
            </w:pPr>
            <w:r w:rsidRPr="00250A92">
              <w:t>Emprunt</w:t>
            </w:r>
          </w:p>
        </w:tc>
        <w:tc>
          <w:tcPr>
            <w:tcW w:w="499" w:type="pct"/>
            <w:vAlign w:val="bottom"/>
          </w:tcPr>
          <w:p w14:paraId="224C9622" w14:textId="77777777" w:rsidR="00B478A5" w:rsidRPr="00250A92" w:rsidRDefault="00B478A5" w:rsidP="00415B40">
            <w:pPr>
              <w:pStyle w:val="chiffrestableau"/>
            </w:pPr>
            <w:r w:rsidRPr="00250A92">
              <w:t>xx</w:t>
            </w:r>
          </w:p>
        </w:tc>
        <w:tc>
          <w:tcPr>
            <w:tcW w:w="154" w:type="pct"/>
            <w:vAlign w:val="bottom"/>
          </w:tcPr>
          <w:p w14:paraId="6F284C5F" w14:textId="77777777" w:rsidR="00B478A5" w:rsidRPr="00250A92" w:rsidRDefault="00B478A5" w:rsidP="00415B40">
            <w:pPr>
              <w:pStyle w:val="chiffrestableau"/>
            </w:pPr>
          </w:p>
        </w:tc>
        <w:tc>
          <w:tcPr>
            <w:tcW w:w="631" w:type="pct"/>
            <w:vAlign w:val="bottom"/>
          </w:tcPr>
          <w:p w14:paraId="7806D74A" w14:textId="77777777" w:rsidR="00B478A5" w:rsidRPr="00250A92" w:rsidRDefault="00B478A5" w:rsidP="00415B40">
            <w:pPr>
              <w:pStyle w:val="chiffrestableau"/>
            </w:pPr>
            <w:r w:rsidRPr="00250A92">
              <w:t>–</w:t>
            </w:r>
          </w:p>
        </w:tc>
        <w:tc>
          <w:tcPr>
            <w:tcW w:w="156" w:type="pct"/>
            <w:vAlign w:val="bottom"/>
          </w:tcPr>
          <w:p w14:paraId="397E189C" w14:textId="77777777" w:rsidR="00B478A5" w:rsidRPr="00250A92" w:rsidRDefault="00B478A5" w:rsidP="00415B40">
            <w:pPr>
              <w:pStyle w:val="chiffrestableau"/>
            </w:pPr>
          </w:p>
        </w:tc>
        <w:tc>
          <w:tcPr>
            <w:tcW w:w="631" w:type="pct"/>
            <w:vAlign w:val="bottom"/>
          </w:tcPr>
          <w:p w14:paraId="3582F3B6" w14:textId="77777777" w:rsidR="00B478A5" w:rsidRPr="00250A92" w:rsidRDefault="00B478A5" w:rsidP="00415B40">
            <w:pPr>
              <w:pStyle w:val="chiffrestableau"/>
            </w:pPr>
            <w:r w:rsidRPr="00250A92">
              <w:t>–</w:t>
            </w:r>
          </w:p>
        </w:tc>
        <w:tc>
          <w:tcPr>
            <w:tcW w:w="156" w:type="pct"/>
            <w:vAlign w:val="bottom"/>
          </w:tcPr>
          <w:p w14:paraId="7BCC5B30" w14:textId="77777777" w:rsidR="00B478A5" w:rsidRPr="00250A92" w:rsidRDefault="00B478A5" w:rsidP="00415B40">
            <w:pPr>
              <w:pStyle w:val="chiffrestableau"/>
            </w:pPr>
          </w:p>
        </w:tc>
        <w:tc>
          <w:tcPr>
            <w:tcW w:w="631" w:type="pct"/>
            <w:vAlign w:val="bottom"/>
          </w:tcPr>
          <w:p w14:paraId="69D34AFA" w14:textId="77777777" w:rsidR="00B478A5" w:rsidRPr="00250A92" w:rsidRDefault="00B478A5" w:rsidP="00415B40">
            <w:pPr>
              <w:pStyle w:val="chiffrestableau"/>
            </w:pPr>
            <w:r w:rsidRPr="00250A92">
              <w:t>–</w:t>
            </w:r>
          </w:p>
        </w:tc>
        <w:tc>
          <w:tcPr>
            <w:tcW w:w="154" w:type="pct"/>
            <w:vAlign w:val="bottom"/>
          </w:tcPr>
          <w:p w14:paraId="69F0537A" w14:textId="77777777" w:rsidR="00B478A5" w:rsidRPr="00250A92" w:rsidRDefault="00B478A5" w:rsidP="00415B40">
            <w:pPr>
              <w:pStyle w:val="chiffrestableau"/>
            </w:pPr>
          </w:p>
        </w:tc>
        <w:tc>
          <w:tcPr>
            <w:tcW w:w="625" w:type="pct"/>
            <w:vAlign w:val="bottom"/>
          </w:tcPr>
          <w:p w14:paraId="43BF566C" w14:textId="77777777" w:rsidR="00B478A5" w:rsidRPr="00250A92" w:rsidRDefault="00B478A5" w:rsidP="00415B40">
            <w:pPr>
              <w:pStyle w:val="chiffrestableau"/>
            </w:pPr>
            <w:r w:rsidRPr="00250A92">
              <w:t>xx</w:t>
            </w:r>
          </w:p>
        </w:tc>
      </w:tr>
      <w:tr w:rsidR="00B478A5" w:rsidRPr="00250A92" w14:paraId="791A4F84" w14:textId="77777777" w:rsidTr="005117F9">
        <w:trPr>
          <w:jc w:val="center"/>
        </w:trPr>
        <w:tc>
          <w:tcPr>
            <w:tcW w:w="1363" w:type="pct"/>
            <w:vAlign w:val="bottom"/>
          </w:tcPr>
          <w:p w14:paraId="614E79B6" w14:textId="77777777" w:rsidR="00B478A5" w:rsidRPr="00250A92" w:rsidRDefault="00B478A5" w:rsidP="00415B40">
            <w:pPr>
              <w:pStyle w:val="chiffrestableau"/>
            </w:pPr>
            <w:r w:rsidRPr="00250A92">
              <w:lastRenderedPageBreak/>
              <w:t>Créditeurs et charges à payer sous forme d’instrument financier</w:t>
            </w:r>
          </w:p>
        </w:tc>
        <w:tc>
          <w:tcPr>
            <w:tcW w:w="499" w:type="pct"/>
            <w:vAlign w:val="bottom"/>
          </w:tcPr>
          <w:p w14:paraId="1AA0254B" w14:textId="77777777" w:rsidR="00B478A5" w:rsidRPr="00250A92" w:rsidRDefault="00B478A5" w:rsidP="00415B40">
            <w:pPr>
              <w:pStyle w:val="chiffrestableau"/>
            </w:pPr>
            <w:r w:rsidRPr="00250A92">
              <w:t>xx</w:t>
            </w:r>
          </w:p>
        </w:tc>
        <w:tc>
          <w:tcPr>
            <w:tcW w:w="154" w:type="pct"/>
            <w:vAlign w:val="bottom"/>
          </w:tcPr>
          <w:p w14:paraId="0CC3707C" w14:textId="77777777" w:rsidR="00B478A5" w:rsidRPr="00250A92" w:rsidRDefault="00B478A5" w:rsidP="00415B40">
            <w:pPr>
              <w:pStyle w:val="chiffrestableau"/>
            </w:pPr>
          </w:p>
        </w:tc>
        <w:tc>
          <w:tcPr>
            <w:tcW w:w="631" w:type="pct"/>
            <w:vAlign w:val="bottom"/>
          </w:tcPr>
          <w:p w14:paraId="40BF0E67" w14:textId="77777777" w:rsidR="00B478A5" w:rsidRPr="00250A92" w:rsidRDefault="00B478A5" w:rsidP="00415B40">
            <w:pPr>
              <w:pStyle w:val="chiffrestableau"/>
            </w:pPr>
            <w:r w:rsidRPr="00250A92">
              <w:t>–</w:t>
            </w:r>
          </w:p>
        </w:tc>
        <w:tc>
          <w:tcPr>
            <w:tcW w:w="156" w:type="pct"/>
            <w:vAlign w:val="bottom"/>
          </w:tcPr>
          <w:p w14:paraId="7C985896" w14:textId="77777777" w:rsidR="00B478A5" w:rsidRPr="00250A92" w:rsidRDefault="00B478A5" w:rsidP="00415B40">
            <w:pPr>
              <w:pStyle w:val="chiffrestableau"/>
            </w:pPr>
          </w:p>
        </w:tc>
        <w:tc>
          <w:tcPr>
            <w:tcW w:w="631" w:type="pct"/>
            <w:vAlign w:val="bottom"/>
          </w:tcPr>
          <w:p w14:paraId="7B8B6428" w14:textId="77777777" w:rsidR="00B478A5" w:rsidRPr="00250A92" w:rsidRDefault="00B478A5" w:rsidP="00415B40">
            <w:pPr>
              <w:pStyle w:val="chiffrestableau"/>
            </w:pPr>
            <w:r w:rsidRPr="00250A92">
              <w:t>–</w:t>
            </w:r>
          </w:p>
        </w:tc>
        <w:tc>
          <w:tcPr>
            <w:tcW w:w="156" w:type="pct"/>
            <w:vAlign w:val="bottom"/>
          </w:tcPr>
          <w:p w14:paraId="2D8E4180" w14:textId="77777777" w:rsidR="00B478A5" w:rsidRPr="00250A92" w:rsidRDefault="00B478A5" w:rsidP="00415B40">
            <w:pPr>
              <w:pStyle w:val="chiffrestableau"/>
            </w:pPr>
          </w:p>
        </w:tc>
        <w:tc>
          <w:tcPr>
            <w:tcW w:w="631" w:type="pct"/>
            <w:vAlign w:val="bottom"/>
          </w:tcPr>
          <w:p w14:paraId="4573A5CA" w14:textId="77777777" w:rsidR="00B478A5" w:rsidRPr="00250A92" w:rsidRDefault="00B478A5" w:rsidP="00415B40">
            <w:pPr>
              <w:pStyle w:val="chiffrestableau"/>
            </w:pPr>
            <w:r w:rsidRPr="00250A92">
              <w:t>–</w:t>
            </w:r>
          </w:p>
        </w:tc>
        <w:tc>
          <w:tcPr>
            <w:tcW w:w="154" w:type="pct"/>
            <w:vAlign w:val="bottom"/>
          </w:tcPr>
          <w:p w14:paraId="00AC0B81" w14:textId="77777777" w:rsidR="00B478A5" w:rsidRPr="00250A92" w:rsidRDefault="00B478A5" w:rsidP="00415B40">
            <w:pPr>
              <w:pStyle w:val="chiffrestableau"/>
            </w:pPr>
          </w:p>
        </w:tc>
        <w:tc>
          <w:tcPr>
            <w:tcW w:w="625" w:type="pct"/>
            <w:vAlign w:val="bottom"/>
          </w:tcPr>
          <w:p w14:paraId="63421486" w14:textId="77777777" w:rsidR="00B478A5" w:rsidRPr="00250A92" w:rsidRDefault="00B478A5" w:rsidP="00415B40">
            <w:pPr>
              <w:pStyle w:val="chiffrestableau"/>
            </w:pPr>
            <w:r w:rsidRPr="00250A92">
              <w:t>xx</w:t>
            </w:r>
          </w:p>
        </w:tc>
      </w:tr>
      <w:tr w:rsidR="00B478A5" w:rsidRPr="00250A92" w14:paraId="209E44B3" w14:textId="77777777" w:rsidTr="005117F9">
        <w:trPr>
          <w:jc w:val="center"/>
        </w:trPr>
        <w:tc>
          <w:tcPr>
            <w:tcW w:w="1363" w:type="pct"/>
            <w:vAlign w:val="bottom"/>
          </w:tcPr>
          <w:p w14:paraId="01696368" w14:textId="77777777" w:rsidR="00B478A5" w:rsidRPr="00250A92" w:rsidRDefault="00B478A5" w:rsidP="00415B40">
            <w:pPr>
              <w:pStyle w:val="chiffrestableau"/>
            </w:pPr>
            <w:r w:rsidRPr="00250A92">
              <w:t>Intérêts courus à payer</w:t>
            </w:r>
          </w:p>
        </w:tc>
        <w:tc>
          <w:tcPr>
            <w:tcW w:w="499" w:type="pct"/>
            <w:vAlign w:val="bottom"/>
          </w:tcPr>
          <w:p w14:paraId="43174859" w14:textId="77777777" w:rsidR="00B478A5" w:rsidRPr="00250A92" w:rsidRDefault="00B478A5" w:rsidP="00415B40">
            <w:pPr>
              <w:pStyle w:val="chiffrestableau"/>
            </w:pPr>
            <w:r w:rsidRPr="00250A92">
              <w:t>xx</w:t>
            </w:r>
          </w:p>
        </w:tc>
        <w:tc>
          <w:tcPr>
            <w:tcW w:w="154" w:type="pct"/>
            <w:vAlign w:val="bottom"/>
          </w:tcPr>
          <w:p w14:paraId="6F3F67AE" w14:textId="77777777" w:rsidR="00B478A5" w:rsidRPr="00250A92" w:rsidRDefault="00B478A5" w:rsidP="00415B40">
            <w:pPr>
              <w:pStyle w:val="chiffrestableau"/>
            </w:pPr>
          </w:p>
        </w:tc>
        <w:tc>
          <w:tcPr>
            <w:tcW w:w="631" w:type="pct"/>
            <w:vAlign w:val="bottom"/>
          </w:tcPr>
          <w:p w14:paraId="6E797259" w14:textId="77777777" w:rsidR="00B478A5" w:rsidRPr="00250A92" w:rsidRDefault="00B478A5" w:rsidP="00415B40">
            <w:pPr>
              <w:pStyle w:val="chiffrestableau"/>
            </w:pPr>
            <w:r w:rsidRPr="00250A92">
              <w:t>–</w:t>
            </w:r>
          </w:p>
        </w:tc>
        <w:tc>
          <w:tcPr>
            <w:tcW w:w="156" w:type="pct"/>
            <w:vAlign w:val="bottom"/>
          </w:tcPr>
          <w:p w14:paraId="4424AF27" w14:textId="77777777" w:rsidR="00B478A5" w:rsidRPr="00250A92" w:rsidRDefault="00B478A5" w:rsidP="00415B40">
            <w:pPr>
              <w:pStyle w:val="chiffrestableau"/>
            </w:pPr>
          </w:p>
        </w:tc>
        <w:tc>
          <w:tcPr>
            <w:tcW w:w="631" w:type="pct"/>
            <w:vAlign w:val="bottom"/>
          </w:tcPr>
          <w:p w14:paraId="4E603785" w14:textId="77777777" w:rsidR="00B478A5" w:rsidRPr="00250A92" w:rsidRDefault="00B478A5" w:rsidP="00415B40">
            <w:pPr>
              <w:pStyle w:val="chiffrestableau"/>
            </w:pPr>
            <w:r w:rsidRPr="00250A92">
              <w:t>–</w:t>
            </w:r>
          </w:p>
        </w:tc>
        <w:tc>
          <w:tcPr>
            <w:tcW w:w="156" w:type="pct"/>
            <w:vAlign w:val="bottom"/>
          </w:tcPr>
          <w:p w14:paraId="5C3EC6AD" w14:textId="77777777" w:rsidR="00B478A5" w:rsidRPr="00250A92" w:rsidRDefault="00B478A5" w:rsidP="00415B40">
            <w:pPr>
              <w:pStyle w:val="chiffrestableau"/>
            </w:pPr>
          </w:p>
        </w:tc>
        <w:tc>
          <w:tcPr>
            <w:tcW w:w="631" w:type="pct"/>
            <w:vAlign w:val="bottom"/>
          </w:tcPr>
          <w:p w14:paraId="6F58C11F" w14:textId="77777777" w:rsidR="00B478A5" w:rsidRPr="00250A92" w:rsidRDefault="00B478A5" w:rsidP="00415B40">
            <w:pPr>
              <w:pStyle w:val="chiffrestableau"/>
            </w:pPr>
            <w:r w:rsidRPr="00250A92">
              <w:t>–</w:t>
            </w:r>
          </w:p>
        </w:tc>
        <w:tc>
          <w:tcPr>
            <w:tcW w:w="154" w:type="pct"/>
            <w:vAlign w:val="bottom"/>
          </w:tcPr>
          <w:p w14:paraId="3AF5C024" w14:textId="77777777" w:rsidR="00B478A5" w:rsidRPr="00250A92" w:rsidRDefault="00B478A5" w:rsidP="00415B40">
            <w:pPr>
              <w:pStyle w:val="chiffrestableau"/>
            </w:pPr>
          </w:p>
        </w:tc>
        <w:tc>
          <w:tcPr>
            <w:tcW w:w="625" w:type="pct"/>
            <w:vAlign w:val="bottom"/>
          </w:tcPr>
          <w:p w14:paraId="00D904EA" w14:textId="77777777" w:rsidR="00B478A5" w:rsidRPr="00250A92" w:rsidRDefault="00B478A5" w:rsidP="00415B40">
            <w:pPr>
              <w:pStyle w:val="chiffrestableau"/>
            </w:pPr>
            <w:r w:rsidRPr="00250A92">
              <w:t>xx</w:t>
            </w:r>
          </w:p>
        </w:tc>
      </w:tr>
      <w:tr w:rsidR="00B478A5" w:rsidRPr="00250A92" w14:paraId="2CC785DD" w14:textId="77777777" w:rsidTr="005117F9">
        <w:trPr>
          <w:jc w:val="center"/>
        </w:trPr>
        <w:tc>
          <w:tcPr>
            <w:tcW w:w="1363" w:type="pct"/>
            <w:vAlign w:val="bottom"/>
          </w:tcPr>
          <w:p w14:paraId="72BE49A3" w14:textId="4C2ECEBC" w:rsidR="00B478A5" w:rsidRPr="00250A92" w:rsidRDefault="00B478A5" w:rsidP="0032364D">
            <w:pPr>
              <w:pStyle w:val="chiffrestableau"/>
            </w:pPr>
            <w:r w:rsidRPr="00250A92">
              <w:t xml:space="preserve">Dettes </w:t>
            </w:r>
          </w:p>
        </w:tc>
        <w:tc>
          <w:tcPr>
            <w:tcW w:w="499" w:type="pct"/>
            <w:vAlign w:val="bottom"/>
          </w:tcPr>
          <w:p w14:paraId="091BE9EB" w14:textId="77777777" w:rsidR="00B478A5" w:rsidRPr="00250A92" w:rsidRDefault="00B478A5" w:rsidP="00415B40">
            <w:pPr>
              <w:pStyle w:val="chiffrestableau"/>
            </w:pPr>
            <w:r w:rsidRPr="00250A92">
              <w:t>xx</w:t>
            </w:r>
          </w:p>
        </w:tc>
        <w:tc>
          <w:tcPr>
            <w:tcW w:w="154" w:type="pct"/>
            <w:vAlign w:val="bottom"/>
          </w:tcPr>
          <w:p w14:paraId="0EE98343" w14:textId="77777777" w:rsidR="00B478A5" w:rsidRPr="00250A92" w:rsidRDefault="00B478A5" w:rsidP="00415B40">
            <w:pPr>
              <w:pStyle w:val="chiffrestableau"/>
            </w:pPr>
          </w:p>
        </w:tc>
        <w:tc>
          <w:tcPr>
            <w:tcW w:w="631" w:type="pct"/>
            <w:vAlign w:val="bottom"/>
          </w:tcPr>
          <w:p w14:paraId="2F5D5F3B" w14:textId="77777777" w:rsidR="00B478A5" w:rsidRPr="00250A92" w:rsidRDefault="00B478A5" w:rsidP="00415B40">
            <w:pPr>
              <w:pStyle w:val="chiffrestableau"/>
            </w:pPr>
            <w:r w:rsidRPr="00250A92">
              <w:t>xx</w:t>
            </w:r>
          </w:p>
        </w:tc>
        <w:tc>
          <w:tcPr>
            <w:tcW w:w="156" w:type="pct"/>
            <w:vAlign w:val="bottom"/>
          </w:tcPr>
          <w:p w14:paraId="2C1B359F" w14:textId="77777777" w:rsidR="00B478A5" w:rsidRPr="00250A92" w:rsidRDefault="00B478A5" w:rsidP="00415B40">
            <w:pPr>
              <w:pStyle w:val="chiffrestableau"/>
            </w:pPr>
          </w:p>
        </w:tc>
        <w:tc>
          <w:tcPr>
            <w:tcW w:w="631" w:type="pct"/>
            <w:vAlign w:val="bottom"/>
          </w:tcPr>
          <w:p w14:paraId="2AE4F0C6" w14:textId="77777777" w:rsidR="00B478A5" w:rsidRPr="00250A92" w:rsidRDefault="00B478A5" w:rsidP="00415B40">
            <w:pPr>
              <w:pStyle w:val="chiffrestableau"/>
            </w:pPr>
            <w:r w:rsidRPr="00250A92">
              <w:t>xx</w:t>
            </w:r>
          </w:p>
        </w:tc>
        <w:tc>
          <w:tcPr>
            <w:tcW w:w="156" w:type="pct"/>
            <w:vAlign w:val="bottom"/>
          </w:tcPr>
          <w:p w14:paraId="2BF5B7DE" w14:textId="77777777" w:rsidR="00B478A5" w:rsidRPr="00250A92" w:rsidRDefault="00B478A5" w:rsidP="00415B40">
            <w:pPr>
              <w:pStyle w:val="chiffrestableau"/>
            </w:pPr>
          </w:p>
        </w:tc>
        <w:tc>
          <w:tcPr>
            <w:tcW w:w="631" w:type="pct"/>
            <w:vAlign w:val="bottom"/>
          </w:tcPr>
          <w:p w14:paraId="0C9B949F" w14:textId="77777777" w:rsidR="00B478A5" w:rsidRPr="00250A92" w:rsidRDefault="00B478A5" w:rsidP="00415B40">
            <w:pPr>
              <w:pStyle w:val="chiffrestableau"/>
            </w:pPr>
            <w:r w:rsidRPr="00250A92">
              <w:t>xx</w:t>
            </w:r>
          </w:p>
        </w:tc>
        <w:tc>
          <w:tcPr>
            <w:tcW w:w="154" w:type="pct"/>
            <w:vAlign w:val="bottom"/>
          </w:tcPr>
          <w:p w14:paraId="47A14A7D" w14:textId="77777777" w:rsidR="00B478A5" w:rsidRPr="00250A92" w:rsidRDefault="00B478A5" w:rsidP="00415B40">
            <w:pPr>
              <w:pStyle w:val="chiffrestableau"/>
            </w:pPr>
          </w:p>
        </w:tc>
        <w:tc>
          <w:tcPr>
            <w:tcW w:w="625" w:type="pct"/>
          </w:tcPr>
          <w:p w14:paraId="11B37621" w14:textId="77777777" w:rsidR="00B478A5" w:rsidRPr="00250A92" w:rsidRDefault="00B478A5" w:rsidP="00415B40">
            <w:pPr>
              <w:pStyle w:val="chiffrestableau"/>
            </w:pPr>
            <w:r w:rsidRPr="00250A92">
              <w:t>xx</w:t>
            </w:r>
          </w:p>
        </w:tc>
      </w:tr>
      <w:tr w:rsidR="00B478A5" w:rsidRPr="00250A92" w14:paraId="1BCCB595" w14:textId="77777777" w:rsidTr="005117F9">
        <w:trPr>
          <w:jc w:val="center"/>
        </w:trPr>
        <w:tc>
          <w:tcPr>
            <w:tcW w:w="1363" w:type="pct"/>
            <w:tcBorders>
              <w:top w:val="single" w:sz="2" w:space="0" w:color="auto"/>
              <w:left w:val="nil"/>
              <w:bottom w:val="single" w:sz="12" w:space="0" w:color="auto"/>
              <w:right w:val="nil"/>
            </w:tcBorders>
            <w:vAlign w:val="bottom"/>
          </w:tcPr>
          <w:p w14:paraId="7D6739C3" w14:textId="77777777" w:rsidR="00B478A5" w:rsidRPr="00250A92" w:rsidRDefault="00B478A5" w:rsidP="00415B40">
            <w:pPr>
              <w:pStyle w:val="chiffrestableau"/>
            </w:pPr>
          </w:p>
        </w:tc>
        <w:tc>
          <w:tcPr>
            <w:tcW w:w="499" w:type="pct"/>
            <w:tcBorders>
              <w:top w:val="single" w:sz="2" w:space="0" w:color="auto"/>
              <w:left w:val="nil"/>
              <w:bottom w:val="single" w:sz="12" w:space="0" w:color="auto"/>
              <w:right w:val="nil"/>
            </w:tcBorders>
            <w:vAlign w:val="bottom"/>
          </w:tcPr>
          <w:p w14:paraId="7C1FDCCE" w14:textId="77777777" w:rsidR="00B478A5" w:rsidRPr="00250A92" w:rsidRDefault="00B478A5" w:rsidP="00415B40">
            <w:pPr>
              <w:pStyle w:val="chiffrestableau"/>
            </w:pPr>
            <w:r w:rsidRPr="00250A92">
              <w:t>xx</w:t>
            </w:r>
          </w:p>
        </w:tc>
        <w:tc>
          <w:tcPr>
            <w:tcW w:w="154" w:type="pct"/>
            <w:tcBorders>
              <w:top w:val="single" w:sz="2" w:space="0" w:color="auto"/>
              <w:left w:val="nil"/>
              <w:bottom w:val="single" w:sz="12" w:space="0" w:color="auto"/>
              <w:right w:val="nil"/>
            </w:tcBorders>
            <w:vAlign w:val="bottom"/>
          </w:tcPr>
          <w:p w14:paraId="6D66CB7C" w14:textId="77777777" w:rsidR="00B478A5" w:rsidRPr="00250A92" w:rsidRDefault="00B478A5" w:rsidP="00415B40">
            <w:pPr>
              <w:pStyle w:val="chiffrestableau"/>
            </w:pPr>
          </w:p>
        </w:tc>
        <w:tc>
          <w:tcPr>
            <w:tcW w:w="631" w:type="pct"/>
            <w:tcBorders>
              <w:top w:val="single" w:sz="2" w:space="0" w:color="auto"/>
              <w:left w:val="nil"/>
              <w:bottom w:val="single" w:sz="12" w:space="0" w:color="auto"/>
              <w:right w:val="nil"/>
            </w:tcBorders>
            <w:vAlign w:val="bottom"/>
          </w:tcPr>
          <w:p w14:paraId="1B994F9B" w14:textId="77777777" w:rsidR="00B478A5" w:rsidRPr="00250A92" w:rsidRDefault="00B478A5" w:rsidP="00415B40">
            <w:pPr>
              <w:pStyle w:val="chiffrestableau"/>
            </w:pPr>
            <w:r w:rsidRPr="00250A92">
              <w:t>xx</w:t>
            </w:r>
          </w:p>
        </w:tc>
        <w:tc>
          <w:tcPr>
            <w:tcW w:w="156" w:type="pct"/>
            <w:tcBorders>
              <w:top w:val="single" w:sz="2" w:space="0" w:color="auto"/>
              <w:left w:val="nil"/>
              <w:bottom w:val="single" w:sz="12" w:space="0" w:color="auto"/>
              <w:right w:val="nil"/>
            </w:tcBorders>
            <w:vAlign w:val="bottom"/>
          </w:tcPr>
          <w:p w14:paraId="638FB503" w14:textId="77777777" w:rsidR="00B478A5" w:rsidRPr="00250A92" w:rsidRDefault="00B478A5" w:rsidP="00415B40">
            <w:pPr>
              <w:pStyle w:val="chiffrestableau"/>
            </w:pPr>
          </w:p>
        </w:tc>
        <w:tc>
          <w:tcPr>
            <w:tcW w:w="631" w:type="pct"/>
            <w:tcBorders>
              <w:top w:val="single" w:sz="2" w:space="0" w:color="auto"/>
              <w:left w:val="nil"/>
              <w:bottom w:val="single" w:sz="12" w:space="0" w:color="auto"/>
              <w:right w:val="nil"/>
            </w:tcBorders>
            <w:vAlign w:val="bottom"/>
          </w:tcPr>
          <w:p w14:paraId="1B202DC7" w14:textId="77777777" w:rsidR="00B478A5" w:rsidRPr="00250A92" w:rsidRDefault="00B478A5" w:rsidP="00415B40">
            <w:pPr>
              <w:pStyle w:val="chiffrestableau"/>
            </w:pPr>
            <w:r w:rsidRPr="00250A92">
              <w:t>xx</w:t>
            </w:r>
          </w:p>
        </w:tc>
        <w:tc>
          <w:tcPr>
            <w:tcW w:w="156" w:type="pct"/>
            <w:tcBorders>
              <w:top w:val="single" w:sz="2" w:space="0" w:color="auto"/>
              <w:left w:val="nil"/>
              <w:bottom w:val="single" w:sz="12" w:space="0" w:color="auto"/>
              <w:right w:val="nil"/>
            </w:tcBorders>
            <w:vAlign w:val="bottom"/>
          </w:tcPr>
          <w:p w14:paraId="3C88DE2B" w14:textId="77777777" w:rsidR="00B478A5" w:rsidRPr="00250A92" w:rsidRDefault="00B478A5" w:rsidP="00415B40">
            <w:pPr>
              <w:pStyle w:val="chiffrestableau"/>
            </w:pPr>
          </w:p>
        </w:tc>
        <w:tc>
          <w:tcPr>
            <w:tcW w:w="631" w:type="pct"/>
            <w:tcBorders>
              <w:top w:val="single" w:sz="2" w:space="0" w:color="auto"/>
              <w:left w:val="nil"/>
              <w:bottom w:val="single" w:sz="12" w:space="0" w:color="auto"/>
              <w:right w:val="nil"/>
            </w:tcBorders>
            <w:vAlign w:val="bottom"/>
          </w:tcPr>
          <w:p w14:paraId="69BFFE45" w14:textId="77777777" w:rsidR="00B478A5" w:rsidRPr="00250A92" w:rsidRDefault="00B478A5" w:rsidP="00415B40">
            <w:pPr>
              <w:pStyle w:val="chiffrestableau"/>
            </w:pPr>
            <w:r w:rsidRPr="00250A92">
              <w:t>xx</w:t>
            </w:r>
          </w:p>
        </w:tc>
        <w:tc>
          <w:tcPr>
            <w:tcW w:w="154" w:type="pct"/>
            <w:tcBorders>
              <w:top w:val="single" w:sz="2" w:space="0" w:color="auto"/>
              <w:left w:val="nil"/>
              <w:bottom w:val="single" w:sz="12" w:space="0" w:color="auto"/>
              <w:right w:val="nil"/>
            </w:tcBorders>
            <w:vAlign w:val="bottom"/>
          </w:tcPr>
          <w:p w14:paraId="058A976E" w14:textId="77777777" w:rsidR="00B478A5" w:rsidRPr="00250A92" w:rsidRDefault="00B478A5" w:rsidP="00415B40">
            <w:pPr>
              <w:pStyle w:val="chiffrestableau"/>
            </w:pPr>
          </w:p>
        </w:tc>
        <w:tc>
          <w:tcPr>
            <w:tcW w:w="625" w:type="pct"/>
            <w:tcBorders>
              <w:top w:val="single" w:sz="2" w:space="0" w:color="auto"/>
              <w:left w:val="nil"/>
              <w:bottom w:val="single" w:sz="12" w:space="0" w:color="auto"/>
              <w:right w:val="nil"/>
            </w:tcBorders>
          </w:tcPr>
          <w:p w14:paraId="30DFFBD4" w14:textId="77777777" w:rsidR="00B478A5" w:rsidRPr="00250A92" w:rsidRDefault="00B478A5" w:rsidP="00415B40">
            <w:pPr>
              <w:pStyle w:val="chiffrestableau"/>
            </w:pPr>
            <w:r w:rsidRPr="00250A92">
              <w:t>xx</w:t>
            </w:r>
          </w:p>
        </w:tc>
      </w:tr>
    </w:tbl>
    <w:p w14:paraId="29E3D840" w14:textId="77777777" w:rsidR="00B478A5" w:rsidRPr="005C3983" w:rsidRDefault="00B478A5" w:rsidP="00415B40">
      <w:pPr>
        <w:pStyle w:val="Texteprincipal"/>
      </w:pPr>
      <w:bookmarkStart w:id="14" w:name="para_268"/>
      <w:bookmarkEnd w:id="14"/>
      <w:r>
        <w:tab/>
      </w:r>
      <w:r>
        <w:tab/>
      </w:r>
      <w:r>
        <w:tab/>
      </w:r>
      <w:r>
        <w:tab/>
      </w:r>
      <w:r>
        <w:tab/>
      </w:r>
      <w:r>
        <w:tab/>
      </w:r>
      <w:r>
        <w:tab/>
      </w:r>
      <w:r>
        <w:tab/>
      </w:r>
      <w:r>
        <w:tab/>
      </w:r>
      <w:r>
        <w:tab/>
        <w:t xml:space="preserve">         </w:t>
      </w:r>
      <w:r w:rsidRPr="005C3983">
        <w:t>20X</w:t>
      </w:r>
      <w:r>
        <w:t>1</w:t>
      </w:r>
    </w:p>
    <w:tbl>
      <w:tblPr>
        <w:tblW w:w="5000" w:type="pct"/>
        <w:jc w:val="center"/>
        <w:tblLook w:val="01E0" w:firstRow="1" w:lastRow="1" w:firstColumn="1" w:lastColumn="1" w:noHBand="0" w:noVBand="0"/>
      </w:tblPr>
      <w:tblGrid>
        <w:gridCol w:w="2356"/>
        <w:gridCol w:w="862"/>
        <w:gridCol w:w="266"/>
        <w:gridCol w:w="1090"/>
        <w:gridCol w:w="270"/>
        <w:gridCol w:w="1090"/>
        <w:gridCol w:w="270"/>
        <w:gridCol w:w="1090"/>
        <w:gridCol w:w="266"/>
        <w:gridCol w:w="1080"/>
      </w:tblGrid>
      <w:tr w:rsidR="00B478A5" w:rsidRPr="00250A92" w14:paraId="223DAC1A" w14:textId="77777777" w:rsidTr="005117F9">
        <w:trPr>
          <w:trHeight w:val="404"/>
          <w:jc w:val="center"/>
        </w:trPr>
        <w:tc>
          <w:tcPr>
            <w:tcW w:w="1363" w:type="pct"/>
            <w:tcBorders>
              <w:top w:val="single" w:sz="4" w:space="0" w:color="auto"/>
              <w:left w:val="nil"/>
              <w:bottom w:val="single" w:sz="4" w:space="0" w:color="auto"/>
              <w:right w:val="nil"/>
            </w:tcBorders>
            <w:shd w:val="clear" w:color="auto" w:fill="E6E6E6"/>
            <w:vAlign w:val="bottom"/>
          </w:tcPr>
          <w:p w14:paraId="24EBD72F" w14:textId="77777777" w:rsidR="00B478A5" w:rsidRPr="00250A92" w:rsidRDefault="00B478A5" w:rsidP="00415B40">
            <w:pPr>
              <w:pStyle w:val="chiffrestableau"/>
            </w:pPr>
          </w:p>
        </w:tc>
        <w:tc>
          <w:tcPr>
            <w:tcW w:w="499" w:type="pct"/>
            <w:tcBorders>
              <w:top w:val="single" w:sz="4" w:space="0" w:color="auto"/>
              <w:left w:val="nil"/>
              <w:bottom w:val="single" w:sz="4" w:space="0" w:color="auto"/>
              <w:right w:val="nil"/>
            </w:tcBorders>
            <w:shd w:val="clear" w:color="auto" w:fill="E6E6E6"/>
            <w:vAlign w:val="center"/>
          </w:tcPr>
          <w:p w14:paraId="06AAE7F1" w14:textId="77777777" w:rsidR="00B478A5" w:rsidRPr="00250A92" w:rsidRDefault="00B478A5" w:rsidP="00415B40">
            <w:pPr>
              <w:pStyle w:val="chiffrestableau"/>
            </w:pPr>
            <w:r w:rsidRPr="00250A92">
              <w:t>Moins d’un an</w:t>
            </w:r>
          </w:p>
        </w:tc>
        <w:tc>
          <w:tcPr>
            <w:tcW w:w="154" w:type="pct"/>
            <w:tcBorders>
              <w:top w:val="single" w:sz="4" w:space="0" w:color="auto"/>
              <w:left w:val="nil"/>
              <w:bottom w:val="single" w:sz="4" w:space="0" w:color="auto"/>
              <w:right w:val="nil"/>
            </w:tcBorders>
            <w:shd w:val="clear" w:color="auto" w:fill="E6E6E6"/>
            <w:vAlign w:val="center"/>
          </w:tcPr>
          <w:p w14:paraId="6590AF10" w14:textId="77777777" w:rsidR="00B478A5" w:rsidRPr="00250A92" w:rsidRDefault="00B478A5" w:rsidP="00415B40"/>
        </w:tc>
        <w:tc>
          <w:tcPr>
            <w:tcW w:w="631" w:type="pct"/>
            <w:tcBorders>
              <w:top w:val="single" w:sz="4" w:space="0" w:color="auto"/>
              <w:left w:val="nil"/>
              <w:bottom w:val="single" w:sz="4" w:space="0" w:color="auto"/>
              <w:right w:val="nil"/>
            </w:tcBorders>
            <w:shd w:val="clear" w:color="auto" w:fill="E6E6E6"/>
            <w:vAlign w:val="center"/>
          </w:tcPr>
          <w:p w14:paraId="7A98E096" w14:textId="77777777" w:rsidR="00B478A5" w:rsidRPr="00250A92" w:rsidRDefault="00B478A5" w:rsidP="00415B40">
            <w:pPr>
              <w:pStyle w:val="chiffrestableau"/>
            </w:pPr>
            <w:r w:rsidRPr="00250A92">
              <w:t>De 1 à 3</w:t>
            </w:r>
            <w:r>
              <w:t> </w:t>
            </w:r>
            <w:r w:rsidRPr="00250A92">
              <w:t>ans</w:t>
            </w:r>
          </w:p>
        </w:tc>
        <w:tc>
          <w:tcPr>
            <w:tcW w:w="156" w:type="pct"/>
            <w:tcBorders>
              <w:top w:val="single" w:sz="4" w:space="0" w:color="auto"/>
              <w:left w:val="nil"/>
              <w:bottom w:val="single" w:sz="4" w:space="0" w:color="auto"/>
              <w:right w:val="nil"/>
            </w:tcBorders>
            <w:shd w:val="clear" w:color="auto" w:fill="E6E6E6"/>
            <w:vAlign w:val="center"/>
          </w:tcPr>
          <w:p w14:paraId="55ECCA49" w14:textId="77777777" w:rsidR="00B478A5" w:rsidRPr="00250A92" w:rsidRDefault="00B478A5" w:rsidP="00415B40">
            <w:pPr>
              <w:pStyle w:val="chiffrestableau"/>
            </w:pPr>
          </w:p>
        </w:tc>
        <w:tc>
          <w:tcPr>
            <w:tcW w:w="631" w:type="pct"/>
            <w:tcBorders>
              <w:top w:val="single" w:sz="4" w:space="0" w:color="auto"/>
              <w:left w:val="nil"/>
              <w:bottom w:val="single" w:sz="4" w:space="0" w:color="auto"/>
              <w:right w:val="nil"/>
            </w:tcBorders>
            <w:shd w:val="clear" w:color="auto" w:fill="E6E6E6"/>
            <w:vAlign w:val="center"/>
          </w:tcPr>
          <w:p w14:paraId="78192CA8" w14:textId="77777777" w:rsidR="00B478A5" w:rsidRPr="00250A92" w:rsidRDefault="00B478A5" w:rsidP="00415B40">
            <w:pPr>
              <w:pStyle w:val="chiffrestableau"/>
            </w:pPr>
            <w:r w:rsidRPr="00250A92">
              <w:t>De 4 à 5</w:t>
            </w:r>
            <w:r>
              <w:t> </w:t>
            </w:r>
            <w:r w:rsidRPr="00250A92">
              <w:t>ans</w:t>
            </w:r>
          </w:p>
        </w:tc>
        <w:tc>
          <w:tcPr>
            <w:tcW w:w="156" w:type="pct"/>
            <w:tcBorders>
              <w:top w:val="single" w:sz="4" w:space="0" w:color="auto"/>
              <w:left w:val="nil"/>
              <w:bottom w:val="single" w:sz="4" w:space="0" w:color="auto"/>
              <w:right w:val="nil"/>
            </w:tcBorders>
            <w:shd w:val="clear" w:color="auto" w:fill="E6E6E6"/>
            <w:vAlign w:val="center"/>
          </w:tcPr>
          <w:p w14:paraId="78D31693" w14:textId="77777777" w:rsidR="00B478A5" w:rsidRPr="00250A92" w:rsidRDefault="00B478A5" w:rsidP="00415B40"/>
        </w:tc>
        <w:tc>
          <w:tcPr>
            <w:tcW w:w="631" w:type="pct"/>
            <w:tcBorders>
              <w:top w:val="single" w:sz="4" w:space="0" w:color="auto"/>
              <w:left w:val="nil"/>
              <w:bottom w:val="single" w:sz="4" w:space="0" w:color="auto"/>
              <w:right w:val="nil"/>
            </w:tcBorders>
            <w:shd w:val="clear" w:color="auto" w:fill="E6E6E6"/>
            <w:vAlign w:val="center"/>
          </w:tcPr>
          <w:p w14:paraId="5515F4D2" w14:textId="77777777" w:rsidR="00B478A5" w:rsidRPr="00250A92" w:rsidRDefault="00B478A5" w:rsidP="00415B40">
            <w:pPr>
              <w:pStyle w:val="chiffrestableau"/>
            </w:pPr>
            <w:r w:rsidRPr="00250A92">
              <w:t>Plus de 5</w:t>
            </w:r>
            <w:r>
              <w:t> </w:t>
            </w:r>
            <w:r w:rsidRPr="00250A92">
              <w:t>ans</w:t>
            </w:r>
          </w:p>
        </w:tc>
        <w:tc>
          <w:tcPr>
            <w:tcW w:w="154" w:type="pct"/>
            <w:tcBorders>
              <w:top w:val="single" w:sz="4" w:space="0" w:color="auto"/>
              <w:left w:val="nil"/>
              <w:bottom w:val="single" w:sz="4" w:space="0" w:color="auto"/>
              <w:right w:val="nil"/>
            </w:tcBorders>
            <w:shd w:val="clear" w:color="auto" w:fill="E6E6E6"/>
            <w:vAlign w:val="center"/>
          </w:tcPr>
          <w:p w14:paraId="465DFA06" w14:textId="77777777" w:rsidR="00B478A5" w:rsidRPr="00250A92" w:rsidRDefault="00B478A5" w:rsidP="00415B40">
            <w:pPr>
              <w:pStyle w:val="chiffrestableau"/>
            </w:pPr>
          </w:p>
        </w:tc>
        <w:tc>
          <w:tcPr>
            <w:tcW w:w="625" w:type="pct"/>
            <w:tcBorders>
              <w:top w:val="single" w:sz="4" w:space="0" w:color="auto"/>
              <w:left w:val="nil"/>
              <w:bottom w:val="single" w:sz="4" w:space="0" w:color="auto"/>
              <w:right w:val="nil"/>
            </w:tcBorders>
            <w:shd w:val="clear" w:color="auto" w:fill="E6E6E6"/>
            <w:vAlign w:val="center"/>
          </w:tcPr>
          <w:p w14:paraId="1E4D9AF0" w14:textId="77777777" w:rsidR="00B478A5" w:rsidRPr="00250A92" w:rsidRDefault="00B478A5" w:rsidP="00415B40">
            <w:pPr>
              <w:pStyle w:val="chiffrestableau"/>
            </w:pPr>
            <w:r w:rsidRPr="00250A92">
              <w:t>Total</w:t>
            </w:r>
          </w:p>
        </w:tc>
      </w:tr>
      <w:tr w:rsidR="00B478A5" w:rsidRPr="00250A92" w14:paraId="165005C3" w14:textId="77777777" w:rsidTr="005117F9">
        <w:trPr>
          <w:jc w:val="center"/>
        </w:trPr>
        <w:tc>
          <w:tcPr>
            <w:tcW w:w="1363" w:type="pct"/>
            <w:tcBorders>
              <w:top w:val="single" w:sz="4" w:space="0" w:color="auto"/>
            </w:tcBorders>
            <w:vAlign w:val="bottom"/>
          </w:tcPr>
          <w:p w14:paraId="33001CCA" w14:textId="77777777" w:rsidR="00B478A5" w:rsidRPr="00250A92" w:rsidRDefault="00B478A5" w:rsidP="00415B40">
            <w:pPr>
              <w:pStyle w:val="chiffrestableau"/>
            </w:pPr>
          </w:p>
        </w:tc>
        <w:tc>
          <w:tcPr>
            <w:tcW w:w="499" w:type="pct"/>
            <w:tcBorders>
              <w:top w:val="single" w:sz="4" w:space="0" w:color="auto"/>
              <w:left w:val="nil"/>
              <w:bottom w:val="nil"/>
              <w:right w:val="nil"/>
            </w:tcBorders>
          </w:tcPr>
          <w:p w14:paraId="265D45D4" w14:textId="77777777" w:rsidR="00B478A5" w:rsidRPr="00250A92" w:rsidRDefault="00B478A5" w:rsidP="00415B40">
            <w:pPr>
              <w:pStyle w:val="chiffrestableau"/>
            </w:pPr>
          </w:p>
        </w:tc>
        <w:tc>
          <w:tcPr>
            <w:tcW w:w="154" w:type="pct"/>
            <w:tcBorders>
              <w:top w:val="single" w:sz="4" w:space="0" w:color="auto"/>
            </w:tcBorders>
            <w:vAlign w:val="bottom"/>
          </w:tcPr>
          <w:p w14:paraId="634CA4B0" w14:textId="77777777" w:rsidR="00B478A5" w:rsidRPr="00250A92" w:rsidRDefault="00B478A5" w:rsidP="00415B40">
            <w:pPr>
              <w:pStyle w:val="chiffrestableau"/>
            </w:pPr>
          </w:p>
        </w:tc>
        <w:tc>
          <w:tcPr>
            <w:tcW w:w="631" w:type="pct"/>
            <w:tcBorders>
              <w:top w:val="single" w:sz="4" w:space="0" w:color="auto"/>
              <w:left w:val="nil"/>
              <w:bottom w:val="nil"/>
              <w:right w:val="nil"/>
            </w:tcBorders>
            <w:vAlign w:val="bottom"/>
          </w:tcPr>
          <w:p w14:paraId="0E56E981" w14:textId="77777777" w:rsidR="00B478A5" w:rsidRPr="00250A92" w:rsidRDefault="00B478A5" w:rsidP="00415B40">
            <w:pPr>
              <w:pStyle w:val="chiffrestableau"/>
            </w:pPr>
          </w:p>
        </w:tc>
        <w:tc>
          <w:tcPr>
            <w:tcW w:w="156" w:type="pct"/>
            <w:tcBorders>
              <w:top w:val="single" w:sz="4" w:space="0" w:color="auto"/>
            </w:tcBorders>
          </w:tcPr>
          <w:p w14:paraId="3748AD1D" w14:textId="77777777" w:rsidR="00B478A5" w:rsidRPr="00250A92" w:rsidRDefault="00B478A5" w:rsidP="00415B40">
            <w:pPr>
              <w:pStyle w:val="chiffrestableau"/>
            </w:pPr>
          </w:p>
        </w:tc>
        <w:tc>
          <w:tcPr>
            <w:tcW w:w="631" w:type="pct"/>
            <w:tcBorders>
              <w:top w:val="single" w:sz="4" w:space="0" w:color="auto"/>
              <w:left w:val="nil"/>
              <w:bottom w:val="nil"/>
              <w:right w:val="nil"/>
            </w:tcBorders>
          </w:tcPr>
          <w:p w14:paraId="7A2614A9" w14:textId="77777777" w:rsidR="00B478A5" w:rsidRPr="00250A92" w:rsidRDefault="00B478A5" w:rsidP="00415B40">
            <w:pPr>
              <w:pStyle w:val="chiffrestableau"/>
            </w:pPr>
          </w:p>
        </w:tc>
        <w:tc>
          <w:tcPr>
            <w:tcW w:w="156" w:type="pct"/>
            <w:tcBorders>
              <w:top w:val="single" w:sz="4" w:space="0" w:color="auto"/>
            </w:tcBorders>
            <w:vAlign w:val="bottom"/>
          </w:tcPr>
          <w:p w14:paraId="21F3A383" w14:textId="77777777" w:rsidR="00B478A5" w:rsidRPr="00250A92" w:rsidRDefault="00B478A5" w:rsidP="00415B40">
            <w:pPr>
              <w:pStyle w:val="chiffrestableau"/>
            </w:pPr>
          </w:p>
        </w:tc>
        <w:tc>
          <w:tcPr>
            <w:tcW w:w="631" w:type="pct"/>
            <w:tcBorders>
              <w:top w:val="single" w:sz="4" w:space="0" w:color="auto"/>
              <w:left w:val="nil"/>
              <w:bottom w:val="nil"/>
              <w:right w:val="nil"/>
            </w:tcBorders>
            <w:vAlign w:val="bottom"/>
          </w:tcPr>
          <w:p w14:paraId="1AD4A5D8" w14:textId="77777777" w:rsidR="00B478A5" w:rsidRPr="00250A92" w:rsidRDefault="00B478A5" w:rsidP="00415B40">
            <w:pPr>
              <w:pStyle w:val="chiffrestableau"/>
            </w:pPr>
          </w:p>
        </w:tc>
        <w:tc>
          <w:tcPr>
            <w:tcW w:w="154" w:type="pct"/>
            <w:tcBorders>
              <w:top w:val="single" w:sz="4" w:space="0" w:color="auto"/>
            </w:tcBorders>
            <w:vAlign w:val="bottom"/>
          </w:tcPr>
          <w:p w14:paraId="6AEB0D5B" w14:textId="77777777" w:rsidR="00B478A5" w:rsidRPr="00250A92" w:rsidRDefault="00B478A5" w:rsidP="00415B40">
            <w:pPr>
              <w:pStyle w:val="chiffrestableau"/>
            </w:pPr>
          </w:p>
        </w:tc>
        <w:tc>
          <w:tcPr>
            <w:tcW w:w="625" w:type="pct"/>
            <w:tcBorders>
              <w:top w:val="single" w:sz="4" w:space="0" w:color="auto"/>
            </w:tcBorders>
          </w:tcPr>
          <w:p w14:paraId="566C5D9C" w14:textId="77777777" w:rsidR="00B478A5" w:rsidRPr="00250A92" w:rsidRDefault="00B478A5" w:rsidP="00415B40">
            <w:pPr>
              <w:pStyle w:val="chiffrestableau"/>
            </w:pPr>
          </w:p>
        </w:tc>
      </w:tr>
      <w:tr w:rsidR="00B478A5" w:rsidRPr="00250A92" w14:paraId="34BB8635" w14:textId="77777777" w:rsidTr="005117F9">
        <w:trPr>
          <w:jc w:val="center"/>
        </w:trPr>
        <w:tc>
          <w:tcPr>
            <w:tcW w:w="1363" w:type="pct"/>
            <w:vAlign w:val="bottom"/>
          </w:tcPr>
          <w:p w14:paraId="16F9C662" w14:textId="77777777" w:rsidR="00B478A5" w:rsidRPr="00250A92" w:rsidRDefault="00B478A5" w:rsidP="00415B40">
            <w:pPr>
              <w:pStyle w:val="chiffrestableau"/>
            </w:pPr>
            <w:r w:rsidRPr="00250A92">
              <w:t>Emprunt</w:t>
            </w:r>
          </w:p>
        </w:tc>
        <w:tc>
          <w:tcPr>
            <w:tcW w:w="499" w:type="pct"/>
            <w:vAlign w:val="bottom"/>
          </w:tcPr>
          <w:p w14:paraId="073C6E74" w14:textId="77777777" w:rsidR="00B478A5" w:rsidRPr="00250A92" w:rsidRDefault="00B478A5" w:rsidP="00415B40">
            <w:pPr>
              <w:pStyle w:val="chiffrestableau"/>
            </w:pPr>
            <w:r w:rsidRPr="00250A92">
              <w:t>xx</w:t>
            </w:r>
          </w:p>
        </w:tc>
        <w:tc>
          <w:tcPr>
            <w:tcW w:w="154" w:type="pct"/>
            <w:vAlign w:val="bottom"/>
          </w:tcPr>
          <w:p w14:paraId="34660B3E" w14:textId="77777777" w:rsidR="00B478A5" w:rsidRPr="00250A92" w:rsidRDefault="00B478A5" w:rsidP="00415B40">
            <w:pPr>
              <w:pStyle w:val="chiffrestableau"/>
            </w:pPr>
          </w:p>
        </w:tc>
        <w:tc>
          <w:tcPr>
            <w:tcW w:w="631" w:type="pct"/>
            <w:vAlign w:val="bottom"/>
          </w:tcPr>
          <w:p w14:paraId="49CA1EB7" w14:textId="77777777" w:rsidR="00B478A5" w:rsidRPr="00250A92" w:rsidRDefault="00B478A5" w:rsidP="00415B40">
            <w:pPr>
              <w:pStyle w:val="chiffrestableau"/>
            </w:pPr>
            <w:r w:rsidRPr="00250A92">
              <w:t>–</w:t>
            </w:r>
          </w:p>
        </w:tc>
        <w:tc>
          <w:tcPr>
            <w:tcW w:w="156" w:type="pct"/>
            <w:vAlign w:val="bottom"/>
          </w:tcPr>
          <w:p w14:paraId="6A094079" w14:textId="77777777" w:rsidR="00B478A5" w:rsidRPr="00250A92" w:rsidRDefault="00B478A5" w:rsidP="00415B40">
            <w:pPr>
              <w:pStyle w:val="chiffrestableau"/>
            </w:pPr>
          </w:p>
        </w:tc>
        <w:tc>
          <w:tcPr>
            <w:tcW w:w="631" w:type="pct"/>
            <w:vAlign w:val="bottom"/>
          </w:tcPr>
          <w:p w14:paraId="7FFB54AB" w14:textId="77777777" w:rsidR="00B478A5" w:rsidRPr="00250A92" w:rsidRDefault="00B478A5" w:rsidP="00415B40">
            <w:pPr>
              <w:pStyle w:val="chiffrestableau"/>
            </w:pPr>
            <w:r w:rsidRPr="00250A92">
              <w:t>–</w:t>
            </w:r>
          </w:p>
        </w:tc>
        <w:tc>
          <w:tcPr>
            <w:tcW w:w="156" w:type="pct"/>
            <w:vAlign w:val="bottom"/>
          </w:tcPr>
          <w:p w14:paraId="67EC27D8" w14:textId="77777777" w:rsidR="00B478A5" w:rsidRPr="00250A92" w:rsidRDefault="00B478A5" w:rsidP="00415B40">
            <w:pPr>
              <w:pStyle w:val="chiffrestableau"/>
            </w:pPr>
          </w:p>
        </w:tc>
        <w:tc>
          <w:tcPr>
            <w:tcW w:w="631" w:type="pct"/>
            <w:vAlign w:val="bottom"/>
          </w:tcPr>
          <w:p w14:paraId="69C16FE5" w14:textId="77777777" w:rsidR="00B478A5" w:rsidRPr="00250A92" w:rsidRDefault="00B478A5" w:rsidP="00415B40">
            <w:pPr>
              <w:pStyle w:val="chiffrestableau"/>
            </w:pPr>
            <w:r w:rsidRPr="00250A92">
              <w:t>–</w:t>
            </w:r>
          </w:p>
        </w:tc>
        <w:tc>
          <w:tcPr>
            <w:tcW w:w="154" w:type="pct"/>
            <w:vAlign w:val="bottom"/>
          </w:tcPr>
          <w:p w14:paraId="3CEE89A5" w14:textId="77777777" w:rsidR="00B478A5" w:rsidRPr="00250A92" w:rsidRDefault="00B478A5" w:rsidP="00415B40">
            <w:pPr>
              <w:pStyle w:val="chiffrestableau"/>
            </w:pPr>
          </w:p>
        </w:tc>
        <w:tc>
          <w:tcPr>
            <w:tcW w:w="625" w:type="pct"/>
            <w:vAlign w:val="bottom"/>
          </w:tcPr>
          <w:p w14:paraId="26235689" w14:textId="77777777" w:rsidR="00B478A5" w:rsidRPr="00250A92" w:rsidRDefault="00B478A5" w:rsidP="00415B40">
            <w:pPr>
              <w:pStyle w:val="chiffrestableau"/>
            </w:pPr>
            <w:r w:rsidRPr="00250A92">
              <w:t>xx</w:t>
            </w:r>
          </w:p>
        </w:tc>
      </w:tr>
      <w:tr w:rsidR="00B478A5" w:rsidRPr="00250A92" w14:paraId="5998EA28" w14:textId="77777777" w:rsidTr="005117F9">
        <w:trPr>
          <w:jc w:val="center"/>
        </w:trPr>
        <w:tc>
          <w:tcPr>
            <w:tcW w:w="1363" w:type="pct"/>
            <w:vAlign w:val="bottom"/>
          </w:tcPr>
          <w:p w14:paraId="19188130" w14:textId="77777777" w:rsidR="00B478A5" w:rsidRPr="00250A92" w:rsidRDefault="00B478A5" w:rsidP="00415B40">
            <w:pPr>
              <w:pStyle w:val="chiffrestableau"/>
            </w:pPr>
            <w:r w:rsidRPr="00250A92">
              <w:t>Créditeurs et charges à payer sous forme d’instrument financier</w:t>
            </w:r>
          </w:p>
        </w:tc>
        <w:tc>
          <w:tcPr>
            <w:tcW w:w="499" w:type="pct"/>
            <w:vAlign w:val="bottom"/>
          </w:tcPr>
          <w:p w14:paraId="5C20D16C" w14:textId="77777777" w:rsidR="00B478A5" w:rsidRPr="00250A92" w:rsidRDefault="00B478A5" w:rsidP="00415B40">
            <w:pPr>
              <w:pStyle w:val="chiffrestableau"/>
            </w:pPr>
            <w:r w:rsidRPr="00250A92">
              <w:t>xx</w:t>
            </w:r>
          </w:p>
        </w:tc>
        <w:tc>
          <w:tcPr>
            <w:tcW w:w="154" w:type="pct"/>
            <w:vAlign w:val="bottom"/>
          </w:tcPr>
          <w:p w14:paraId="720F04E8" w14:textId="77777777" w:rsidR="00B478A5" w:rsidRPr="00250A92" w:rsidRDefault="00B478A5" w:rsidP="00415B40">
            <w:pPr>
              <w:pStyle w:val="chiffrestableau"/>
            </w:pPr>
          </w:p>
        </w:tc>
        <w:tc>
          <w:tcPr>
            <w:tcW w:w="631" w:type="pct"/>
            <w:vAlign w:val="bottom"/>
          </w:tcPr>
          <w:p w14:paraId="453C2EF8" w14:textId="77777777" w:rsidR="00B478A5" w:rsidRPr="00250A92" w:rsidRDefault="00B478A5" w:rsidP="00415B40">
            <w:pPr>
              <w:pStyle w:val="chiffrestableau"/>
            </w:pPr>
            <w:r w:rsidRPr="00250A92">
              <w:t>–</w:t>
            </w:r>
          </w:p>
        </w:tc>
        <w:tc>
          <w:tcPr>
            <w:tcW w:w="156" w:type="pct"/>
            <w:vAlign w:val="bottom"/>
          </w:tcPr>
          <w:p w14:paraId="30E2AF25" w14:textId="77777777" w:rsidR="00B478A5" w:rsidRPr="00250A92" w:rsidRDefault="00B478A5" w:rsidP="00415B40">
            <w:pPr>
              <w:pStyle w:val="chiffrestableau"/>
            </w:pPr>
          </w:p>
        </w:tc>
        <w:tc>
          <w:tcPr>
            <w:tcW w:w="631" w:type="pct"/>
            <w:vAlign w:val="bottom"/>
          </w:tcPr>
          <w:p w14:paraId="0365EA1F" w14:textId="77777777" w:rsidR="00B478A5" w:rsidRPr="00250A92" w:rsidRDefault="00B478A5" w:rsidP="00415B40">
            <w:pPr>
              <w:pStyle w:val="chiffrestableau"/>
            </w:pPr>
            <w:r w:rsidRPr="00250A92">
              <w:t>–</w:t>
            </w:r>
          </w:p>
        </w:tc>
        <w:tc>
          <w:tcPr>
            <w:tcW w:w="156" w:type="pct"/>
            <w:vAlign w:val="bottom"/>
          </w:tcPr>
          <w:p w14:paraId="77D36C45" w14:textId="77777777" w:rsidR="00B478A5" w:rsidRPr="00250A92" w:rsidRDefault="00B478A5" w:rsidP="00415B40">
            <w:pPr>
              <w:pStyle w:val="chiffrestableau"/>
            </w:pPr>
          </w:p>
        </w:tc>
        <w:tc>
          <w:tcPr>
            <w:tcW w:w="631" w:type="pct"/>
            <w:vAlign w:val="bottom"/>
          </w:tcPr>
          <w:p w14:paraId="04ED7813" w14:textId="77777777" w:rsidR="00B478A5" w:rsidRPr="00250A92" w:rsidRDefault="00B478A5" w:rsidP="00415B40">
            <w:pPr>
              <w:pStyle w:val="chiffrestableau"/>
            </w:pPr>
            <w:r w:rsidRPr="00250A92">
              <w:t>–</w:t>
            </w:r>
          </w:p>
        </w:tc>
        <w:tc>
          <w:tcPr>
            <w:tcW w:w="154" w:type="pct"/>
            <w:vAlign w:val="bottom"/>
          </w:tcPr>
          <w:p w14:paraId="25241EAF" w14:textId="77777777" w:rsidR="00B478A5" w:rsidRPr="00250A92" w:rsidRDefault="00B478A5" w:rsidP="00415B40">
            <w:pPr>
              <w:pStyle w:val="chiffrestableau"/>
            </w:pPr>
          </w:p>
        </w:tc>
        <w:tc>
          <w:tcPr>
            <w:tcW w:w="625" w:type="pct"/>
            <w:vAlign w:val="bottom"/>
          </w:tcPr>
          <w:p w14:paraId="75B9F8BC" w14:textId="77777777" w:rsidR="00B478A5" w:rsidRPr="00250A92" w:rsidRDefault="00B478A5" w:rsidP="00415B40">
            <w:pPr>
              <w:pStyle w:val="chiffrestableau"/>
            </w:pPr>
          </w:p>
          <w:p w14:paraId="7A884A57" w14:textId="77777777" w:rsidR="00B478A5" w:rsidRPr="00250A92" w:rsidRDefault="00B478A5" w:rsidP="00415B40">
            <w:pPr>
              <w:pStyle w:val="chiffrestableau"/>
            </w:pPr>
            <w:r w:rsidRPr="00250A92">
              <w:t>xx</w:t>
            </w:r>
          </w:p>
        </w:tc>
      </w:tr>
      <w:tr w:rsidR="00B478A5" w:rsidRPr="00250A92" w14:paraId="35FC0514" w14:textId="77777777" w:rsidTr="005117F9">
        <w:trPr>
          <w:jc w:val="center"/>
        </w:trPr>
        <w:tc>
          <w:tcPr>
            <w:tcW w:w="1363" w:type="pct"/>
            <w:vAlign w:val="bottom"/>
          </w:tcPr>
          <w:p w14:paraId="5A5BF8CA" w14:textId="77777777" w:rsidR="00B478A5" w:rsidRPr="00250A92" w:rsidRDefault="00B478A5" w:rsidP="00415B40">
            <w:pPr>
              <w:pStyle w:val="chiffrestableau"/>
            </w:pPr>
            <w:r w:rsidRPr="00250A92">
              <w:t>Intérêts courus à payer</w:t>
            </w:r>
          </w:p>
        </w:tc>
        <w:tc>
          <w:tcPr>
            <w:tcW w:w="499" w:type="pct"/>
            <w:vAlign w:val="bottom"/>
          </w:tcPr>
          <w:p w14:paraId="15644BAE" w14:textId="77777777" w:rsidR="00B478A5" w:rsidRPr="00250A92" w:rsidRDefault="00B478A5" w:rsidP="00415B40">
            <w:pPr>
              <w:pStyle w:val="chiffrestableau"/>
            </w:pPr>
            <w:r w:rsidRPr="00250A92">
              <w:t>xx</w:t>
            </w:r>
          </w:p>
        </w:tc>
        <w:tc>
          <w:tcPr>
            <w:tcW w:w="154" w:type="pct"/>
            <w:vAlign w:val="bottom"/>
          </w:tcPr>
          <w:p w14:paraId="43B81413" w14:textId="77777777" w:rsidR="00B478A5" w:rsidRPr="00250A92" w:rsidRDefault="00B478A5" w:rsidP="00415B40">
            <w:pPr>
              <w:pStyle w:val="chiffrestableau"/>
            </w:pPr>
          </w:p>
        </w:tc>
        <w:tc>
          <w:tcPr>
            <w:tcW w:w="631" w:type="pct"/>
            <w:vAlign w:val="bottom"/>
          </w:tcPr>
          <w:p w14:paraId="07E6E9C8" w14:textId="77777777" w:rsidR="00B478A5" w:rsidRPr="00250A92" w:rsidRDefault="00B478A5" w:rsidP="00415B40">
            <w:pPr>
              <w:pStyle w:val="chiffrestableau"/>
            </w:pPr>
            <w:r w:rsidRPr="00250A92">
              <w:t>–</w:t>
            </w:r>
          </w:p>
        </w:tc>
        <w:tc>
          <w:tcPr>
            <w:tcW w:w="156" w:type="pct"/>
            <w:vAlign w:val="bottom"/>
          </w:tcPr>
          <w:p w14:paraId="40A35F12" w14:textId="77777777" w:rsidR="00B478A5" w:rsidRPr="00250A92" w:rsidRDefault="00B478A5" w:rsidP="00415B40">
            <w:pPr>
              <w:pStyle w:val="chiffrestableau"/>
            </w:pPr>
          </w:p>
        </w:tc>
        <w:tc>
          <w:tcPr>
            <w:tcW w:w="631" w:type="pct"/>
            <w:vAlign w:val="bottom"/>
          </w:tcPr>
          <w:p w14:paraId="5682FEF8" w14:textId="77777777" w:rsidR="00B478A5" w:rsidRPr="00250A92" w:rsidRDefault="00B478A5" w:rsidP="00415B40">
            <w:pPr>
              <w:pStyle w:val="chiffrestableau"/>
            </w:pPr>
            <w:r w:rsidRPr="00250A92">
              <w:t>–</w:t>
            </w:r>
          </w:p>
        </w:tc>
        <w:tc>
          <w:tcPr>
            <w:tcW w:w="156" w:type="pct"/>
            <w:vAlign w:val="bottom"/>
          </w:tcPr>
          <w:p w14:paraId="7A7C4A3B" w14:textId="77777777" w:rsidR="00B478A5" w:rsidRPr="00250A92" w:rsidRDefault="00B478A5" w:rsidP="00415B40">
            <w:pPr>
              <w:pStyle w:val="chiffrestableau"/>
            </w:pPr>
          </w:p>
        </w:tc>
        <w:tc>
          <w:tcPr>
            <w:tcW w:w="631" w:type="pct"/>
            <w:vAlign w:val="bottom"/>
          </w:tcPr>
          <w:p w14:paraId="0D38A6FB" w14:textId="77777777" w:rsidR="00B478A5" w:rsidRPr="00250A92" w:rsidRDefault="00B478A5" w:rsidP="00415B40">
            <w:pPr>
              <w:pStyle w:val="chiffrestableau"/>
            </w:pPr>
            <w:r w:rsidRPr="00250A92">
              <w:t>–</w:t>
            </w:r>
          </w:p>
        </w:tc>
        <w:tc>
          <w:tcPr>
            <w:tcW w:w="154" w:type="pct"/>
            <w:vAlign w:val="bottom"/>
          </w:tcPr>
          <w:p w14:paraId="516AB43D" w14:textId="77777777" w:rsidR="00B478A5" w:rsidRPr="00250A92" w:rsidRDefault="00B478A5" w:rsidP="00415B40">
            <w:pPr>
              <w:pStyle w:val="chiffrestableau"/>
            </w:pPr>
          </w:p>
        </w:tc>
        <w:tc>
          <w:tcPr>
            <w:tcW w:w="625" w:type="pct"/>
            <w:vAlign w:val="bottom"/>
          </w:tcPr>
          <w:p w14:paraId="059165D3" w14:textId="77777777" w:rsidR="00B478A5" w:rsidRPr="00250A92" w:rsidRDefault="00B478A5" w:rsidP="00415B40">
            <w:pPr>
              <w:pStyle w:val="chiffrestableau"/>
            </w:pPr>
            <w:r w:rsidRPr="00250A92">
              <w:t>xx</w:t>
            </w:r>
          </w:p>
        </w:tc>
      </w:tr>
      <w:tr w:rsidR="00B478A5" w:rsidRPr="00250A92" w14:paraId="1882C638" w14:textId="77777777" w:rsidTr="005117F9">
        <w:trPr>
          <w:jc w:val="center"/>
        </w:trPr>
        <w:tc>
          <w:tcPr>
            <w:tcW w:w="1363" w:type="pct"/>
            <w:vAlign w:val="bottom"/>
          </w:tcPr>
          <w:p w14:paraId="205B974D" w14:textId="77777777" w:rsidR="00B478A5" w:rsidRPr="00250A92" w:rsidRDefault="00B478A5" w:rsidP="00415B40">
            <w:pPr>
              <w:pStyle w:val="chiffrestableau"/>
            </w:pPr>
            <w:r w:rsidRPr="00250A92">
              <w:t>Dettes</w:t>
            </w:r>
          </w:p>
        </w:tc>
        <w:tc>
          <w:tcPr>
            <w:tcW w:w="499" w:type="pct"/>
            <w:vAlign w:val="bottom"/>
          </w:tcPr>
          <w:p w14:paraId="74C81FF0" w14:textId="77777777" w:rsidR="00B478A5" w:rsidRPr="00250A92" w:rsidRDefault="00B478A5" w:rsidP="00415B40">
            <w:pPr>
              <w:pStyle w:val="chiffrestableau"/>
            </w:pPr>
            <w:r w:rsidRPr="00250A92">
              <w:t>xx</w:t>
            </w:r>
          </w:p>
        </w:tc>
        <w:tc>
          <w:tcPr>
            <w:tcW w:w="154" w:type="pct"/>
            <w:vAlign w:val="bottom"/>
          </w:tcPr>
          <w:p w14:paraId="3C7E3884" w14:textId="77777777" w:rsidR="00B478A5" w:rsidRPr="00250A92" w:rsidRDefault="00B478A5" w:rsidP="00415B40">
            <w:pPr>
              <w:pStyle w:val="chiffrestableau"/>
            </w:pPr>
          </w:p>
        </w:tc>
        <w:tc>
          <w:tcPr>
            <w:tcW w:w="631" w:type="pct"/>
            <w:vAlign w:val="bottom"/>
          </w:tcPr>
          <w:p w14:paraId="514B0362" w14:textId="77777777" w:rsidR="00B478A5" w:rsidRPr="00250A92" w:rsidRDefault="00B478A5" w:rsidP="00415B40">
            <w:pPr>
              <w:pStyle w:val="chiffrestableau"/>
            </w:pPr>
            <w:r w:rsidRPr="00250A92">
              <w:t>xx</w:t>
            </w:r>
          </w:p>
        </w:tc>
        <w:tc>
          <w:tcPr>
            <w:tcW w:w="156" w:type="pct"/>
            <w:vAlign w:val="bottom"/>
          </w:tcPr>
          <w:p w14:paraId="45CDA1DD" w14:textId="77777777" w:rsidR="00B478A5" w:rsidRPr="00250A92" w:rsidRDefault="00B478A5" w:rsidP="00415B40">
            <w:pPr>
              <w:pStyle w:val="chiffrestableau"/>
            </w:pPr>
          </w:p>
        </w:tc>
        <w:tc>
          <w:tcPr>
            <w:tcW w:w="631" w:type="pct"/>
            <w:vAlign w:val="bottom"/>
          </w:tcPr>
          <w:p w14:paraId="7CC77E43" w14:textId="77777777" w:rsidR="00B478A5" w:rsidRPr="00250A92" w:rsidRDefault="00B478A5" w:rsidP="00415B40">
            <w:pPr>
              <w:pStyle w:val="chiffrestableau"/>
            </w:pPr>
            <w:r w:rsidRPr="00250A92">
              <w:t>xx</w:t>
            </w:r>
          </w:p>
        </w:tc>
        <w:tc>
          <w:tcPr>
            <w:tcW w:w="156" w:type="pct"/>
            <w:vAlign w:val="bottom"/>
          </w:tcPr>
          <w:p w14:paraId="0C43CE86" w14:textId="77777777" w:rsidR="00B478A5" w:rsidRPr="00250A92" w:rsidRDefault="00B478A5" w:rsidP="00415B40">
            <w:pPr>
              <w:pStyle w:val="chiffrestableau"/>
            </w:pPr>
          </w:p>
        </w:tc>
        <w:tc>
          <w:tcPr>
            <w:tcW w:w="631" w:type="pct"/>
            <w:vAlign w:val="bottom"/>
          </w:tcPr>
          <w:p w14:paraId="205699A9" w14:textId="77777777" w:rsidR="00B478A5" w:rsidRPr="00250A92" w:rsidRDefault="00B478A5" w:rsidP="00415B40">
            <w:pPr>
              <w:pStyle w:val="chiffrestableau"/>
            </w:pPr>
            <w:r w:rsidRPr="00250A92">
              <w:t>xx</w:t>
            </w:r>
          </w:p>
        </w:tc>
        <w:tc>
          <w:tcPr>
            <w:tcW w:w="154" w:type="pct"/>
            <w:vAlign w:val="bottom"/>
          </w:tcPr>
          <w:p w14:paraId="3551BDF7" w14:textId="77777777" w:rsidR="00B478A5" w:rsidRPr="00250A92" w:rsidRDefault="00B478A5" w:rsidP="00415B40">
            <w:pPr>
              <w:pStyle w:val="chiffrestableau"/>
            </w:pPr>
          </w:p>
        </w:tc>
        <w:tc>
          <w:tcPr>
            <w:tcW w:w="625" w:type="pct"/>
          </w:tcPr>
          <w:p w14:paraId="1BF170D8" w14:textId="77777777" w:rsidR="00B478A5" w:rsidRPr="00250A92" w:rsidRDefault="00B478A5" w:rsidP="00415B40">
            <w:pPr>
              <w:pStyle w:val="chiffrestableau"/>
            </w:pPr>
            <w:r w:rsidRPr="00250A92">
              <w:t>xx</w:t>
            </w:r>
          </w:p>
        </w:tc>
      </w:tr>
      <w:tr w:rsidR="00B478A5" w:rsidRPr="00250A92" w14:paraId="36F9D802" w14:textId="77777777" w:rsidTr="005117F9">
        <w:trPr>
          <w:jc w:val="center"/>
        </w:trPr>
        <w:tc>
          <w:tcPr>
            <w:tcW w:w="1363" w:type="pct"/>
            <w:tcBorders>
              <w:top w:val="single" w:sz="2" w:space="0" w:color="auto"/>
              <w:left w:val="nil"/>
              <w:bottom w:val="single" w:sz="12" w:space="0" w:color="auto"/>
              <w:right w:val="nil"/>
            </w:tcBorders>
            <w:vAlign w:val="bottom"/>
          </w:tcPr>
          <w:p w14:paraId="6BFB0B36" w14:textId="77777777" w:rsidR="00B478A5" w:rsidRPr="00250A92" w:rsidRDefault="00B478A5" w:rsidP="00415B40">
            <w:pPr>
              <w:pStyle w:val="chiffrestableau"/>
            </w:pPr>
          </w:p>
        </w:tc>
        <w:tc>
          <w:tcPr>
            <w:tcW w:w="499" w:type="pct"/>
            <w:tcBorders>
              <w:top w:val="single" w:sz="2" w:space="0" w:color="auto"/>
              <w:left w:val="nil"/>
              <w:bottom w:val="single" w:sz="12" w:space="0" w:color="auto"/>
              <w:right w:val="nil"/>
            </w:tcBorders>
            <w:vAlign w:val="bottom"/>
          </w:tcPr>
          <w:p w14:paraId="18EA11A7" w14:textId="77777777" w:rsidR="00B478A5" w:rsidRPr="00250A92" w:rsidRDefault="00B478A5" w:rsidP="00415B40">
            <w:pPr>
              <w:pStyle w:val="chiffrestableau"/>
            </w:pPr>
            <w:r w:rsidRPr="00250A92">
              <w:t>xx</w:t>
            </w:r>
          </w:p>
        </w:tc>
        <w:tc>
          <w:tcPr>
            <w:tcW w:w="154" w:type="pct"/>
            <w:tcBorders>
              <w:top w:val="single" w:sz="2" w:space="0" w:color="auto"/>
              <w:left w:val="nil"/>
              <w:bottom w:val="single" w:sz="12" w:space="0" w:color="auto"/>
              <w:right w:val="nil"/>
            </w:tcBorders>
            <w:vAlign w:val="bottom"/>
          </w:tcPr>
          <w:p w14:paraId="66B3F108" w14:textId="77777777" w:rsidR="00B478A5" w:rsidRPr="00250A92" w:rsidRDefault="00B478A5" w:rsidP="00415B40">
            <w:pPr>
              <w:pStyle w:val="chiffrestableau"/>
            </w:pPr>
          </w:p>
        </w:tc>
        <w:tc>
          <w:tcPr>
            <w:tcW w:w="631" w:type="pct"/>
            <w:tcBorders>
              <w:top w:val="single" w:sz="2" w:space="0" w:color="auto"/>
              <w:left w:val="nil"/>
              <w:bottom w:val="single" w:sz="12" w:space="0" w:color="auto"/>
              <w:right w:val="nil"/>
            </w:tcBorders>
            <w:vAlign w:val="bottom"/>
          </w:tcPr>
          <w:p w14:paraId="2032B70B" w14:textId="77777777" w:rsidR="00B478A5" w:rsidRPr="00250A92" w:rsidRDefault="00B478A5" w:rsidP="00415B40">
            <w:pPr>
              <w:pStyle w:val="chiffrestableau"/>
            </w:pPr>
            <w:r w:rsidRPr="00250A92">
              <w:t>xx</w:t>
            </w:r>
          </w:p>
        </w:tc>
        <w:tc>
          <w:tcPr>
            <w:tcW w:w="156" w:type="pct"/>
            <w:tcBorders>
              <w:top w:val="single" w:sz="2" w:space="0" w:color="auto"/>
              <w:left w:val="nil"/>
              <w:bottom w:val="single" w:sz="12" w:space="0" w:color="auto"/>
              <w:right w:val="nil"/>
            </w:tcBorders>
            <w:vAlign w:val="bottom"/>
          </w:tcPr>
          <w:p w14:paraId="54A4F37E" w14:textId="77777777" w:rsidR="00B478A5" w:rsidRPr="00250A92" w:rsidRDefault="00B478A5" w:rsidP="00415B40">
            <w:pPr>
              <w:pStyle w:val="chiffrestableau"/>
            </w:pPr>
          </w:p>
        </w:tc>
        <w:tc>
          <w:tcPr>
            <w:tcW w:w="631" w:type="pct"/>
            <w:tcBorders>
              <w:top w:val="single" w:sz="2" w:space="0" w:color="auto"/>
              <w:left w:val="nil"/>
              <w:bottom w:val="single" w:sz="12" w:space="0" w:color="auto"/>
              <w:right w:val="nil"/>
            </w:tcBorders>
            <w:vAlign w:val="bottom"/>
          </w:tcPr>
          <w:p w14:paraId="571E0216" w14:textId="77777777" w:rsidR="00B478A5" w:rsidRPr="00250A92" w:rsidRDefault="00B478A5" w:rsidP="00415B40">
            <w:pPr>
              <w:pStyle w:val="chiffrestableau"/>
            </w:pPr>
            <w:r w:rsidRPr="00250A92">
              <w:t>xx</w:t>
            </w:r>
          </w:p>
        </w:tc>
        <w:tc>
          <w:tcPr>
            <w:tcW w:w="156" w:type="pct"/>
            <w:tcBorders>
              <w:top w:val="single" w:sz="2" w:space="0" w:color="auto"/>
              <w:left w:val="nil"/>
              <w:bottom w:val="single" w:sz="12" w:space="0" w:color="auto"/>
              <w:right w:val="nil"/>
            </w:tcBorders>
            <w:vAlign w:val="bottom"/>
          </w:tcPr>
          <w:p w14:paraId="3542F39D" w14:textId="77777777" w:rsidR="00B478A5" w:rsidRPr="00250A92" w:rsidRDefault="00B478A5" w:rsidP="00415B40">
            <w:pPr>
              <w:pStyle w:val="chiffrestableau"/>
            </w:pPr>
          </w:p>
        </w:tc>
        <w:tc>
          <w:tcPr>
            <w:tcW w:w="631" w:type="pct"/>
            <w:tcBorders>
              <w:top w:val="single" w:sz="2" w:space="0" w:color="auto"/>
              <w:left w:val="nil"/>
              <w:bottom w:val="single" w:sz="12" w:space="0" w:color="auto"/>
              <w:right w:val="nil"/>
            </w:tcBorders>
            <w:vAlign w:val="bottom"/>
          </w:tcPr>
          <w:p w14:paraId="64889DE8" w14:textId="77777777" w:rsidR="00B478A5" w:rsidRPr="00250A92" w:rsidRDefault="00B478A5" w:rsidP="00415B40">
            <w:pPr>
              <w:pStyle w:val="chiffrestableau"/>
            </w:pPr>
            <w:r w:rsidRPr="00250A92">
              <w:t>xx</w:t>
            </w:r>
          </w:p>
        </w:tc>
        <w:tc>
          <w:tcPr>
            <w:tcW w:w="154" w:type="pct"/>
            <w:tcBorders>
              <w:top w:val="single" w:sz="2" w:space="0" w:color="auto"/>
              <w:left w:val="nil"/>
              <w:bottom w:val="single" w:sz="12" w:space="0" w:color="auto"/>
              <w:right w:val="nil"/>
            </w:tcBorders>
            <w:vAlign w:val="bottom"/>
          </w:tcPr>
          <w:p w14:paraId="681EBF3F" w14:textId="77777777" w:rsidR="00B478A5" w:rsidRPr="00250A92" w:rsidRDefault="00B478A5" w:rsidP="00415B40">
            <w:pPr>
              <w:pStyle w:val="chiffrestableau"/>
            </w:pPr>
          </w:p>
        </w:tc>
        <w:tc>
          <w:tcPr>
            <w:tcW w:w="625" w:type="pct"/>
            <w:tcBorders>
              <w:top w:val="single" w:sz="2" w:space="0" w:color="auto"/>
              <w:left w:val="nil"/>
              <w:bottom w:val="single" w:sz="12" w:space="0" w:color="auto"/>
              <w:right w:val="nil"/>
            </w:tcBorders>
            <w:vAlign w:val="bottom"/>
          </w:tcPr>
          <w:p w14:paraId="7E9BB84A" w14:textId="77777777" w:rsidR="00B478A5" w:rsidRPr="00250A92" w:rsidRDefault="00B478A5" w:rsidP="00415B40">
            <w:pPr>
              <w:pStyle w:val="chiffrestableau"/>
            </w:pPr>
            <w:r w:rsidRPr="00250A92">
              <w:t>xx</w:t>
            </w:r>
          </w:p>
        </w:tc>
      </w:tr>
    </w:tbl>
    <w:p w14:paraId="29E09893" w14:textId="77777777" w:rsidR="00B478A5" w:rsidRPr="005C3983" w:rsidRDefault="00B478A5" w:rsidP="00BD2DA7">
      <w:pPr>
        <w:pStyle w:val="Titre3"/>
      </w:pPr>
      <w:bookmarkStart w:id="15" w:name="_Toc118905539"/>
      <w:r w:rsidRPr="005C3983">
        <w:t>R</w:t>
      </w:r>
      <w:r>
        <w:t>isque de marché</w:t>
      </w:r>
      <w:bookmarkEnd w:id="15"/>
    </w:p>
    <w:p w14:paraId="2849FCB2" w14:textId="5AA7C487" w:rsidR="00B478A5" w:rsidRPr="005C3983" w:rsidRDefault="00B478A5" w:rsidP="00BD2DA7">
      <w:r w:rsidRPr="005C3983">
        <w:t xml:space="preserve">Le risque de marché est le risque que la juste valeur ou les flux </w:t>
      </w:r>
      <w:r w:rsidRPr="005C3983">
        <w:rPr>
          <w:bCs/>
        </w:rPr>
        <w:t>de</w:t>
      </w:r>
      <w:r w:rsidRPr="005C3983">
        <w:t xml:space="preserve"> trésorerie futurs d</w:t>
      </w:r>
      <w:r>
        <w:t>’</w:t>
      </w:r>
      <w:r w:rsidRPr="005C3983">
        <w:t xml:space="preserve">un instrument financier fluctuent en raison </w:t>
      </w:r>
      <w:r w:rsidRPr="005C3983">
        <w:rPr>
          <w:bCs/>
        </w:rPr>
        <w:t>de</w:t>
      </w:r>
      <w:r w:rsidRPr="005C3983">
        <w:t xml:space="preserve"> variations du prix du marché. Le risque de marché comprend le risque de change, le risque de taux d’intérêt et l’autre risque de prix.</w:t>
      </w:r>
      <w:r>
        <w:t xml:space="preserve"> </w:t>
      </w:r>
      <w:r w:rsidRPr="00BD2DA7">
        <w:t>L’</w:t>
      </w:r>
      <w:r w:rsidR="009936A9" w:rsidRPr="00BD2DA7">
        <w:t>o</w:t>
      </w:r>
      <w:r w:rsidR="00C70202" w:rsidRPr="00BD2DA7">
        <w:t xml:space="preserve">rganisme municipal </w:t>
      </w:r>
      <w:r w:rsidRPr="00BD2DA7">
        <w:t>est</w:t>
      </w:r>
      <w:r w:rsidRPr="005C3983">
        <w:t xml:space="preserve"> exposé à ces risques.</w:t>
      </w:r>
    </w:p>
    <w:p w14:paraId="39700278" w14:textId="23FEDBEE" w:rsidR="00B478A5" w:rsidRPr="005C3983" w:rsidRDefault="00B478A5" w:rsidP="005658C7">
      <w:pPr>
        <w:pStyle w:val="Titre3"/>
      </w:pPr>
      <w:bookmarkStart w:id="16" w:name="_Toc118905540"/>
      <w:r w:rsidRPr="005C3983">
        <w:t>R</w:t>
      </w:r>
      <w:r>
        <w:t>isque de change</w:t>
      </w:r>
      <w:bookmarkEnd w:id="16"/>
      <w:r>
        <w:t xml:space="preserve"> </w:t>
      </w:r>
      <w:r w:rsidR="00BD2DA7" w:rsidRPr="00B21F9A">
        <w:rPr>
          <w:color w:val="FF0000"/>
        </w:rPr>
        <w:t>(SI APPLICABLE)</w:t>
      </w:r>
    </w:p>
    <w:p w14:paraId="191B8C37" w14:textId="6A8CEBD1" w:rsidR="00B478A5" w:rsidRPr="005C3983" w:rsidRDefault="00B478A5" w:rsidP="00415B40">
      <w:r w:rsidRPr="005C3983">
        <w:t>Dans le cours normal de son exploitation</w:t>
      </w:r>
      <w:r w:rsidRPr="00BD2DA7">
        <w:t xml:space="preserve">, </w:t>
      </w:r>
      <w:r w:rsidR="00700A4B">
        <w:t>l</w:t>
      </w:r>
      <w:r w:rsidRPr="00BD2DA7">
        <w:t>’</w:t>
      </w:r>
      <w:r w:rsidR="003A0574" w:rsidRPr="00BD2DA7">
        <w:t>o</w:t>
      </w:r>
      <w:r w:rsidR="00C70202" w:rsidRPr="00BD2DA7">
        <w:t xml:space="preserve">rganisme municipal </w:t>
      </w:r>
      <w:r w:rsidRPr="00BD2DA7">
        <w:t>réalise</w:t>
      </w:r>
      <w:r w:rsidRPr="005C3983">
        <w:t xml:space="preserve"> des </w:t>
      </w:r>
      <w:r w:rsidR="001C6AED">
        <w:t>opérations</w:t>
      </w:r>
      <w:r w:rsidRPr="005C3983">
        <w:t xml:space="preserve"> en dollar américain et est donc exposé aux fluctuations des devises. </w:t>
      </w:r>
    </w:p>
    <w:p w14:paraId="50DECC8E" w14:textId="233DD762" w:rsidR="00B478A5" w:rsidRPr="005C3983" w:rsidRDefault="00BD2DA7" w:rsidP="00415B40">
      <w:r w:rsidRPr="00B21F9A">
        <w:rPr>
          <w:b/>
          <w:bCs/>
          <w:color w:val="FF0000"/>
        </w:rPr>
        <w:t>(SI APPLICABLE)</w:t>
      </w:r>
      <w:r>
        <w:rPr>
          <w:b/>
          <w:bCs/>
          <w:color w:val="FF0000"/>
        </w:rPr>
        <w:t xml:space="preserve"> </w:t>
      </w:r>
      <w:r w:rsidR="00B478A5" w:rsidRPr="005C3983">
        <w:t>Aux fins de la gestion de ce risque de change, l’</w:t>
      </w:r>
      <w:r w:rsidR="00C70202">
        <w:t>organisme municipal</w:t>
      </w:r>
      <w:r w:rsidR="00B478A5" w:rsidRPr="005C3983">
        <w:t xml:space="preserve"> a conclu des contrats de change à terme, dont l’échéance est de moins de 1</w:t>
      </w:r>
      <w:r w:rsidR="00B478A5">
        <w:t> </w:t>
      </w:r>
      <w:r w:rsidR="00B478A5" w:rsidRPr="005C3983">
        <w:t xml:space="preserve">an. </w:t>
      </w:r>
    </w:p>
    <w:p w14:paraId="0E5A54BB" w14:textId="10294CFB" w:rsidR="00B478A5" w:rsidRPr="005C3983" w:rsidRDefault="00B478A5" w:rsidP="00415B40">
      <w:r w:rsidRPr="005C3983">
        <w:t>L’exposition de l’</w:t>
      </w:r>
      <w:r w:rsidR="00C70202">
        <w:t>organisme municipal</w:t>
      </w:r>
      <w:r w:rsidRPr="005C3983">
        <w:t xml:space="preserve"> au risque de change sur les instruments financiers s’établit comme suit</w:t>
      </w:r>
      <w:r>
        <w:t>.</w:t>
      </w:r>
    </w:p>
    <w:tbl>
      <w:tblPr>
        <w:tblW w:w="5000" w:type="pct"/>
        <w:tblLook w:val="01E0" w:firstRow="1" w:lastRow="1" w:firstColumn="1" w:lastColumn="1" w:noHBand="0" w:noVBand="0"/>
      </w:tblPr>
      <w:tblGrid>
        <w:gridCol w:w="3367"/>
        <w:gridCol w:w="311"/>
        <w:gridCol w:w="1089"/>
        <w:gridCol w:w="294"/>
        <w:gridCol w:w="1025"/>
        <w:gridCol w:w="292"/>
        <w:gridCol w:w="943"/>
        <w:gridCol w:w="294"/>
        <w:gridCol w:w="1025"/>
      </w:tblGrid>
      <w:tr w:rsidR="00B478A5" w:rsidRPr="005C3983" w14:paraId="306207ED" w14:textId="77777777" w:rsidTr="005117F9">
        <w:trPr>
          <w:trHeight w:val="163"/>
        </w:trPr>
        <w:tc>
          <w:tcPr>
            <w:tcW w:w="1949" w:type="pct"/>
            <w:tcBorders>
              <w:top w:val="single" w:sz="4" w:space="0" w:color="auto"/>
              <w:left w:val="nil"/>
              <w:right w:val="nil"/>
            </w:tcBorders>
            <w:shd w:val="clear" w:color="auto" w:fill="E6E6E6"/>
            <w:vAlign w:val="bottom"/>
          </w:tcPr>
          <w:p w14:paraId="3A71480D" w14:textId="77777777" w:rsidR="00B478A5" w:rsidRPr="005C3983" w:rsidRDefault="00B478A5" w:rsidP="00415B40">
            <w:pPr>
              <w:pStyle w:val="Normaltableau"/>
            </w:pPr>
          </w:p>
        </w:tc>
        <w:tc>
          <w:tcPr>
            <w:tcW w:w="180" w:type="pct"/>
            <w:tcBorders>
              <w:top w:val="single" w:sz="4" w:space="0" w:color="auto"/>
              <w:left w:val="nil"/>
              <w:right w:val="nil"/>
            </w:tcBorders>
            <w:shd w:val="clear" w:color="auto" w:fill="E6E6E6"/>
            <w:vAlign w:val="bottom"/>
          </w:tcPr>
          <w:p w14:paraId="26E5E474" w14:textId="77777777" w:rsidR="00B478A5" w:rsidRPr="005C3983" w:rsidRDefault="00B478A5" w:rsidP="00415B40">
            <w:pPr>
              <w:pStyle w:val="chiffrestableau"/>
            </w:pPr>
          </w:p>
        </w:tc>
        <w:tc>
          <w:tcPr>
            <w:tcW w:w="1392" w:type="pct"/>
            <w:gridSpan w:val="3"/>
            <w:tcBorders>
              <w:top w:val="single" w:sz="4" w:space="0" w:color="auto"/>
              <w:left w:val="nil"/>
              <w:right w:val="nil"/>
            </w:tcBorders>
            <w:shd w:val="clear" w:color="auto" w:fill="E6E6E6"/>
          </w:tcPr>
          <w:p w14:paraId="5C7A05CA" w14:textId="77777777" w:rsidR="00B478A5" w:rsidRPr="00704EEF" w:rsidRDefault="00B478A5" w:rsidP="00415B40">
            <w:pPr>
              <w:pStyle w:val="chiffrestableau"/>
              <w:rPr>
                <w:color w:val="FF0000"/>
              </w:rPr>
            </w:pPr>
            <w:r w:rsidRPr="00704EEF">
              <w:rPr>
                <w:color w:val="FF0000"/>
              </w:rPr>
              <w:t>20X2</w:t>
            </w:r>
          </w:p>
        </w:tc>
        <w:tc>
          <w:tcPr>
            <w:tcW w:w="169" w:type="pct"/>
            <w:tcBorders>
              <w:top w:val="single" w:sz="4" w:space="0" w:color="auto"/>
              <w:left w:val="nil"/>
              <w:right w:val="nil"/>
            </w:tcBorders>
            <w:shd w:val="clear" w:color="auto" w:fill="E6E6E6"/>
            <w:vAlign w:val="bottom"/>
          </w:tcPr>
          <w:p w14:paraId="503CF371" w14:textId="77777777" w:rsidR="00B478A5" w:rsidRPr="00704EEF" w:rsidRDefault="00B478A5" w:rsidP="00415B40">
            <w:pPr>
              <w:pStyle w:val="chiffrestableau"/>
              <w:rPr>
                <w:color w:val="FF0000"/>
              </w:rPr>
            </w:pPr>
          </w:p>
        </w:tc>
        <w:tc>
          <w:tcPr>
            <w:tcW w:w="1309" w:type="pct"/>
            <w:gridSpan w:val="3"/>
            <w:tcBorders>
              <w:top w:val="single" w:sz="4" w:space="0" w:color="auto"/>
              <w:left w:val="nil"/>
              <w:right w:val="nil"/>
            </w:tcBorders>
            <w:shd w:val="clear" w:color="auto" w:fill="E6E6E6"/>
            <w:vAlign w:val="bottom"/>
          </w:tcPr>
          <w:p w14:paraId="4D5426D1" w14:textId="77777777" w:rsidR="00B478A5" w:rsidRPr="00704EEF" w:rsidRDefault="00B478A5" w:rsidP="00415B40">
            <w:pPr>
              <w:pStyle w:val="chiffrestableau"/>
              <w:rPr>
                <w:color w:val="FF0000"/>
              </w:rPr>
            </w:pPr>
            <w:r w:rsidRPr="00704EEF">
              <w:rPr>
                <w:color w:val="FF0000"/>
              </w:rPr>
              <w:t>20X1</w:t>
            </w:r>
          </w:p>
        </w:tc>
      </w:tr>
      <w:tr w:rsidR="00B478A5" w:rsidRPr="005C3983" w14:paraId="14D155C3" w14:textId="77777777" w:rsidTr="005117F9">
        <w:trPr>
          <w:trHeight w:val="163"/>
        </w:trPr>
        <w:tc>
          <w:tcPr>
            <w:tcW w:w="1949" w:type="pct"/>
            <w:tcBorders>
              <w:top w:val="nil"/>
              <w:left w:val="nil"/>
              <w:bottom w:val="single" w:sz="4" w:space="0" w:color="auto"/>
              <w:right w:val="nil"/>
            </w:tcBorders>
            <w:shd w:val="clear" w:color="auto" w:fill="E6E6E6"/>
            <w:vAlign w:val="bottom"/>
          </w:tcPr>
          <w:p w14:paraId="3BD6ED6F" w14:textId="77777777" w:rsidR="00B478A5" w:rsidRPr="005C3983" w:rsidRDefault="00B478A5" w:rsidP="00415B40">
            <w:pPr>
              <w:pStyle w:val="Normaltableau"/>
            </w:pPr>
          </w:p>
        </w:tc>
        <w:tc>
          <w:tcPr>
            <w:tcW w:w="180" w:type="pct"/>
            <w:tcBorders>
              <w:bottom w:val="single" w:sz="4" w:space="0" w:color="auto"/>
            </w:tcBorders>
            <w:shd w:val="clear" w:color="auto" w:fill="E6E6E6"/>
            <w:vAlign w:val="bottom"/>
          </w:tcPr>
          <w:p w14:paraId="3F5F891A" w14:textId="77777777" w:rsidR="00B478A5" w:rsidRPr="005C3983" w:rsidRDefault="00B478A5" w:rsidP="00415B40">
            <w:pPr>
              <w:pStyle w:val="chiffrestableau"/>
            </w:pPr>
          </w:p>
        </w:tc>
        <w:tc>
          <w:tcPr>
            <w:tcW w:w="630" w:type="pct"/>
            <w:tcBorders>
              <w:top w:val="nil"/>
              <w:left w:val="nil"/>
              <w:bottom w:val="single" w:sz="4" w:space="0" w:color="auto"/>
              <w:right w:val="nil"/>
            </w:tcBorders>
            <w:shd w:val="clear" w:color="auto" w:fill="E6E6E6"/>
          </w:tcPr>
          <w:p w14:paraId="4F1B72C0" w14:textId="77777777" w:rsidR="00B478A5" w:rsidRPr="005C3983" w:rsidRDefault="00B478A5" w:rsidP="00415B40">
            <w:pPr>
              <w:pStyle w:val="chiffrestableau"/>
            </w:pPr>
          </w:p>
        </w:tc>
        <w:tc>
          <w:tcPr>
            <w:tcW w:w="170" w:type="pct"/>
            <w:tcBorders>
              <w:bottom w:val="single" w:sz="4" w:space="0" w:color="auto"/>
            </w:tcBorders>
            <w:shd w:val="clear" w:color="auto" w:fill="E6E6E6"/>
          </w:tcPr>
          <w:p w14:paraId="6B0E1474" w14:textId="77777777" w:rsidR="00B478A5" w:rsidRPr="005C3983" w:rsidRDefault="00B478A5" w:rsidP="00415B40">
            <w:pPr>
              <w:pStyle w:val="chiffrestableau"/>
            </w:pPr>
          </w:p>
        </w:tc>
        <w:tc>
          <w:tcPr>
            <w:tcW w:w="593" w:type="pct"/>
            <w:tcBorders>
              <w:top w:val="nil"/>
              <w:left w:val="nil"/>
              <w:bottom w:val="single" w:sz="4" w:space="0" w:color="auto"/>
              <w:right w:val="nil"/>
            </w:tcBorders>
            <w:shd w:val="clear" w:color="auto" w:fill="E6E6E6"/>
            <w:vAlign w:val="bottom"/>
          </w:tcPr>
          <w:p w14:paraId="163384C7" w14:textId="77777777" w:rsidR="00B478A5" w:rsidRPr="005C3983" w:rsidRDefault="00B478A5" w:rsidP="00415B40">
            <w:pPr>
              <w:pStyle w:val="chiffrestableau"/>
            </w:pPr>
            <w:r w:rsidRPr="005C3983">
              <w:t>USD</w:t>
            </w:r>
          </w:p>
        </w:tc>
        <w:tc>
          <w:tcPr>
            <w:tcW w:w="169" w:type="pct"/>
            <w:tcBorders>
              <w:bottom w:val="single" w:sz="4" w:space="0" w:color="auto"/>
            </w:tcBorders>
            <w:shd w:val="clear" w:color="auto" w:fill="E6E6E6"/>
          </w:tcPr>
          <w:p w14:paraId="517989A7" w14:textId="77777777" w:rsidR="00B478A5" w:rsidRPr="005C3983" w:rsidRDefault="00B478A5" w:rsidP="00415B40">
            <w:pPr>
              <w:pStyle w:val="chiffrestableau"/>
            </w:pPr>
          </w:p>
        </w:tc>
        <w:tc>
          <w:tcPr>
            <w:tcW w:w="546" w:type="pct"/>
            <w:tcBorders>
              <w:top w:val="nil"/>
              <w:left w:val="nil"/>
              <w:bottom w:val="single" w:sz="4" w:space="0" w:color="auto"/>
              <w:right w:val="nil"/>
            </w:tcBorders>
            <w:shd w:val="clear" w:color="auto" w:fill="E6E6E6"/>
          </w:tcPr>
          <w:p w14:paraId="3EA2B0D2" w14:textId="77777777" w:rsidR="00B478A5" w:rsidRPr="005C3983" w:rsidRDefault="00B478A5" w:rsidP="00415B40">
            <w:pPr>
              <w:pStyle w:val="chiffrestableau"/>
            </w:pPr>
          </w:p>
        </w:tc>
        <w:tc>
          <w:tcPr>
            <w:tcW w:w="170" w:type="pct"/>
            <w:tcBorders>
              <w:bottom w:val="single" w:sz="4" w:space="0" w:color="auto"/>
            </w:tcBorders>
            <w:shd w:val="clear" w:color="auto" w:fill="E6E6E6"/>
          </w:tcPr>
          <w:p w14:paraId="02664A60" w14:textId="77777777" w:rsidR="00B478A5" w:rsidRPr="005C3983" w:rsidRDefault="00B478A5" w:rsidP="00415B40">
            <w:pPr>
              <w:pStyle w:val="chiffrestableau"/>
            </w:pPr>
          </w:p>
        </w:tc>
        <w:tc>
          <w:tcPr>
            <w:tcW w:w="593" w:type="pct"/>
            <w:tcBorders>
              <w:top w:val="nil"/>
              <w:left w:val="nil"/>
              <w:bottom w:val="single" w:sz="4" w:space="0" w:color="auto"/>
              <w:right w:val="nil"/>
            </w:tcBorders>
            <w:shd w:val="clear" w:color="auto" w:fill="E6E6E6"/>
            <w:vAlign w:val="bottom"/>
          </w:tcPr>
          <w:p w14:paraId="293FEF70" w14:textId="77777777" w:rsidR="00B478A5" w:rsidRPr="005C3983" w:rsidRDefault="00B478A5" w:rsidP="00415B40">
            <w:pPr>
              <w:pStyle w:val="chiffrestableau"/>
            </w:pPr>
            <w:r w:rsidRPr="005C3983">
              <w:t>USD</w:t>
            </w:r>
          </w:p>
        </w:tc>
      </w:tr>
      <w:tr w:rsidR="00B478A5" w:rsidRPr="005C3983" w14:paraId="1C6F46ED" w14:textId="77777777" w:rsidTr="005117F9">
        <w:trPr>
          <w:trHeight w:val="219"/>
        </w:trPr>
        <w:tc>
          <w:tcPr>
            <w:tcW w:w="1949" w:type="pct"/>
            <w:tcBorders>
              <w:top w:val="single" w:sz="4" w:space="0" w:color="auto"/>
              <w:left w:val="nil"/>
              <w:bottom w:val="nil"/>
              <w:right w:val="nil"/>
            </w:tcBorders>
            <w:vAlign w:val="bottom"/>
          </w:tcPr>
          <w:p w14:paraId="3DD3DB8D" w14:textId="77777777" w:rsidR="00B478A5" w:rsidRPr="005C3983" w:rsidRDefault="00B478A5" w:rsidP="00415B40">
            <w:pPr>
              <w:pStyle w:val="chiffrestableau"/>
            </w:pPr>
            <w:r w:rsidRPr="005C3983">
              <w:t>Débiteurs</w:t>
            </w:r>
          </w:p>
        </w:tc>
        <w:tc>
          <w:tcPr>
            <w:tcW w:w="180" w:type="pct"/>
            <w:tcBorders>
              <w:top w:val="single" w:sz="4" w:space="0" w:color="auto"/>
            </w:tcBorders>
            <w:vAlign w:val="bottom"/>
          </w:tcPr>
          <w:p w14:paraId="039A9588" w14:textId="77777777" w:rsidR="00B478A5" w:rsidRPr="005C3983" w:rsidRDefault="00B478A5" w:rsidP="00415B40">
            <w:pPr>
              <w:pStyle w:val="chiffrestableau"/>
            </w:pPr>
          </w:p>
        </w:tc>
        <w:tc>
          <w:tcPr>
            <w:tcW w:w="630" w:type="pct"/>
            <w:tcBorders>
              <w:top w:val="single" w:sz="4" w:space="0" w:color="auto"/>
              <w:left w:val="nil"/>
              <w:bottom w:val="nil"/>
              <w:right w:val="nil"/>
            </w:tcBorders>
          </w:tcPr>
          <w:p w14:paraId="5C6725B2" w14:textId="77777777" w:rsidR="00B478A5" w:rsidRPr="005C3983" w:rsidRDefault="00B478A5" w:rsidP="00415B40">
            <w:pPr>
              <w:pStyle w:val="chiffrestableau"/>
            </w:pPr>
          </w:p>
        </w:tc>
        <w:tc>
          <w:tcPr>
            <w:tcW w:w="170" w:type="pct"/>
            <w:tcBorders>
              <w:top w:val="single" w:sz="4" w:space="0" w:color="auto"/>
            </w:tcBorders>
          </w:tcPr>
          <w:p w14:paraId="7C1E0CB4" w14:textId="77777777" w:rsidR="00B478A5" w:rsidRPr="005C3983" w:rsidRDefault="00B478A5" w:rsidP="00415B40">
            <w:pPr>
              <w:pStyle w:val="chiffrestableau"/>
            </w:pPr>
          </w:p>
        </w:tc>
        <w:tc>
          <w:tcPr>
            <w:tcW w:w="593" w:type="pct"/>
            <w:tcBorders>
              <w:top w:val="single" w:sz="4" w:space="0" w:color="auto"/>
              <w:left w:val="nil"/>
              <w:bottom w:val="nil"/>
              <w:right w:val="nil"/>
            </w:tcBorders>
            <w:vAlign w:val="bottom"/>
          </w:tcPr>
          <w:p w14:paraId="27DA5CF0" w14:textId="77777777" w:rsidR="00B478A5" w:rsidRPr="005C3983" w:rsidRDefault="00B478A5" w:rsidP="00415B40">
            <w:pPr>
              <w:pStyle w:val="chiffrestableau"/>
            </w:pPr>
            <w:r w:rsidRPr="005C3983">
              <w:t>xx</w:t>
            </w:r>
          </w:p>
        </w:tc>
        <w:tc>
          <w:tcPr>
            <w:tcW w:w="169" w:type="pct"/>
            <w:tcBorders>
              <w:top w:val="single" w:sz="4" w:space="0" w:color="auto"/>
            </w:tcBorders>
          </w:tcPr>
          <w:p w14:paraId="7F2C2D4A" w14:textId="77777777" w:rsidR="00B478A5" w:rsidRPr="005C3983" w:rsidRDefault="00B478A5" w:rsidP="00415B40">
            <w:pPr>
              <w:pStyle w:val="chiffrestableau"/>
            </w:pPr>
          </w:p>
        </w:tc>
        <w:tc>
          <w:tcPr>
            <w:tcW w:w="546" w:type="pct"/>
            <w:tcBorders>
              <w:top w:val="single" w:sz="4" w:space="0" w:color="auto"/>
              <w:left w:val="nil"/>
              <w:bottom w:val="nil"/>
              <w:right w:val="nil"/>
            </w:tcBorders>
          </w:tcPr>
          <w:p w14:paraId="5CD2625F" w14:textId="77777777" w:rsidR="00B478A5" w:rsidRPr="005C3983" w:rsidRDefault="00B478A5" w:rsidP="00415B40">
            <w:pPr>
              <w:pStyle w:val="chiffrestableau"/>
            </w:pPr>
          </w:p>
        </w:tc>
        <w:tc>
          <w:tcPr>
            <w:tcW w:w="170" w:type="pct"/>
            <w:tcBorders>
              <w:top w:val="single" w:sz="4" w:space="0" w:color="auto"/>
            </w:tcBorders>
          </w:tcPr>
          <w:p w14:paraId="0E14C556" w14:textId="77777777" w:rsidR="00B478A5" w:rsidRPr="005C3983" w:rsidRDefault="00B478A5" w:rsidP="00415B40">
            <w:pPr>
              <w:pStyle w:val="chiffrestableau"/>
            </w:pPr>
          </w:p>
        </w:tc>
        <w:tc>
          <w:tcPr>
            <w:tcW w:w="593" w:type="pct"/>
            <w:tcBorders>
              <w:top w:val="single" w:sz="4" w:space="0" w:color="auto"/>
              <w:left w:val="nil"/>
              <w:bottom w:val="nil"/>
              <w:right w:val="nil"/>
            </w:tcBorders>
            <w:vAlign w:val="bottom"/>
          </w:tcPr>
          <w:p w14:paraId="4DE31A28" w14:textId="77777777" w:rsidR="00B478A5" w:rsidRPr="005C3983" w:rsidRDefault="00B478A5" w:rsidP="00415B40">
            <w:pPr>
              <w:pStyle w:val="chiffrestableau"/>
            </w:pPr>
            <w:r>
              <w:t>x</w:t>
            </w:r>
            <w:r w:rsidRPr="005C3983">
              <w:t>x</w:t>
            </w:r>
          </w:p>
        </w:tc>
      </w:tr>
      <w:tr w:rsidR="00B478A5" w:rsidRPr="005C3983" w14:paraId="4A5C29B0" w14:textId="77777777" w:rsidTr="005117F9">
        <w:trPr>
          <w:trHeight w:val="315"/>
        </w:trPr>
        <w:tc>
          <w:tcPr>
            <w:tcW w:w="1949" w:type="pct"/>
            <w:tcBorders>
              <w:top w:val="nil"/>
              <w:left w:val="nil"/>
              <w:bottom w:val="single" w:sz="4" w:space="0" w:color="auto"/>
              <w:right w:val="nil"/>
            </w:tcBorders>
            <w:vAlign w:val="bottom"/>
          </w:tcPr>
          <w:p w14:paraId="7400B621" w14:textId="77777777" w:rsidR="00B478A5" w:rsidRPr="005C3983" w:rsidRDefault="00B478A5" w:rsidP="00415B40">
            <w:pPr>
              <w:pStyle w:val="Normaltableau"/>
            </w:pPr>
            <w:r w:rsidRPr="005C3983">
              <w:t>Créditeurs</w:t>
            </w:r>
          </w:p>
        </w:tc>
        <w:tc>
          <w:tcPr>
            <w:tcW w:w="180" w:type="pct"/>
            <w:vAlign w:val="bottom"/>
          </w:tcPr>
          <w:p w14:paraId="5A580D7E" w14:textId="77777777" w:rsidR="00B478A5" w:rsidRPr="005C3983" w:rsidRDefault="00B478A5" w:rsidP="00415B40">
            <w:pPr>
              <w:pStyle w:val="chiffrestableau"/>
            </w:pPr>
          </w:p>
        </w:tc>
        <w:tc>
          <w:tcPr>
            <w:tcW w:w="630" w:type="pct"/>
          </w:tcPr>
          <w:p w14:paraId="7F0A7E33" w14:textId="77777777" w:rsidR="00B478A5" w:rsidRPr="005C3983" w:rsidRDefault="00B478A5" w:rsidP="00415B40">
            <w:pPr>
              <w:pStyle w:val="chiffrestableau"/>
            </w:pPr>
          </w:p>
        </w:tc>
        <w:tc>
          <w:tcPr>
            <w:tcW w:w="170" w:type="pct"/>
          </w:tcPr>
          <w:p w14:paraId="50986C27" w14:textId="77777777" w:rsidR="00B478A5" w:rsidRPr="005C3983" w:rsidRDefault="00B478A5" w:rsidP="00415B40">
            <w:pPr>
              <w:pStyle w:val="chiffrestableau"/>
            </w:pPr>
          </w:p>
        </w:tc>
        <w:tc>
          <w:tcPr>
            <w:tcW w:w="593" w:type="pct"/>
            <w:tcBorders>
              <w:top w:val="nil"/>
              <w:left w:val="nil"/>
              <w:bottom w:val="single" w:sz="4" w:space="0" w:color="auto"/>
              <w:right w:val="nil"/>
            </w:tcBorders>
            <w:vAlign w:val="bottom"/>
          </w:tcPr>
          <w:p w14:paraId="0279F74D" w14:textId="77777777" w:rsidR="00B478A5" w:rsidRPr="005C3983" w:rsidRDefault="00B478A5" w:rsidP="00415B40">
            <w:pPr>
              <w:pStyle w:val="chiffrestableau"/>
            </w:pPr>
            <w:r w:rsidRPr="005C3983">
              <w:t>xx</w:t>
            </w:r>
          </w:p>
        </w:tc>
        <w:tc>
          <w:tcPr>
            <w:tcW w:w="169" w:type="pct"/>
          </w:tcPr>
          <w:p w14:paraId="1C11045D" w14:textId="77777777" w:rsidR="00B478A5" w:rsidRPr="005C3983" w:rsidRDefault="00B478A5" w:rsidP="00415B40">
            <w:pPr>
              <w:pStyle w:val="chiffrestableau"/>
            </w:pPr>
          </w:p>
        </w:tc>
        <w:tc>
          <w:tcPr>
            <w:tcW w:w="546" w:type="pct"/>
            <w:tcBorders>
              <w:top w:val="nil"/>
              <w:left w:val="nil"/>
              <w:bottom w:val="single" w:sz="4" w:space="0" w:color="auto"/>
              <w:right w:val="nil"/>
            </w:tcBorders>
          </w:tcPr>
          <w:p w14:paraId="53E130E3" w14:textId="77777777" w:rsidR="00B478A5" w:rsidRPr="005C3983" w:rsidRDefault="00B478A5" w:rsidP="00415B40">
            <w:pPr>
              <w:pStyle w:val="chiffrestableau"/>
            </w:pPr>
          </w:p>
        </w:tc>
        <w:tc>
          <w:tcPr>
            <w:tcW w:w="170" w:type="pct"/>
            <w:tcBorders>
              <w:bottom w:val="single" w:sz="4" w:space="0" w:color="auto"/>
            </w:tcBorders>
          </w:tcPr>
          <w:p w14:paraId="011D61CA" w14:textId="77777777" w:rsidR="00B478A5" w:rsidRPr="005C3983" w:rsidRDefault="00B478A5" w:rsidP="00415B40">
            <w:pPr>
              <w:pStyle w:val="chiffrestableau"/>
            </w:pPr>
          </w:p>
        </w:tc>
        <w:tc>
          <w:tcPr>
            <w:tcW w:w="593" w:type="pct"/>
            <w:tcBorders>
              <w:top w:val="nil"/>
              <w:left w:val="nil"/>
              <w:bottom w:val="single" w:sz="4" w:space="0" w:color="auto"/>
              <w:right w:val="nil"/>
            </w:tcBorders>
            <w:vAlign w:val="bottom"/>
          </w:tcPr>
          <w:p w14:paraId="5F3D3662" w14:textId="77777777" w:rsidR="00B478A5" w:rsidRPr="005C3983" w:rsidRDefault="00B478A5" w:rsidP="00415B40">
            <w:pPr>
              <w:pStyle w:val="chiffrestableau"/>
            </w:pPr>
            <w:r>
              <w:t>x</w:t>
            </w:r>
            <w:r w:rsidRPr="005C3983">
              <w:t>x</w:t>
            </w:r>
          </w:p>
        </w:tc>
      </w:tr>
      <w:tr w:rsidR="00B478A5" w:rsidRPr="005C3983" w14:paraId="0E595E1C" w14:textId="77777777" w:rsidTr="005117F9">
        <w:trPr>
          <w:trHeight w:val="207"/>
        </w:trPr>
        <w:tc>
          <w:tcPr>
            <w:tcW w:w="1949" w:type="pct"/>
            <w:tcBorders>
              <w:top w:val="single" w:sz="4" w:space="0" w:color="auto"/>
              <w:left w:val="nil"/>
              <w:bottom w:val="single" w:sz="4" w:space="0" w:color="auto"/>
              <w:right w:val="nil"/>
            </w:tcBorders>
            <w:vAlign w:val="bottom"/>
          </w:tcPr>
          <w:p w14:paraId="4CB8334E" w14:textId="77777777" w:rsidR="00B478A5" w:rsidRPr="005C3983" w:rsidRDefault="00B478A5" w:rsidP="00415B40">
            <w:pPr>
              <w:pStyle w:val="Normaltableau"/>
            </w:pPr>
          </w:p>
        </w:tc>
        <w:tc>
          <w:tcPr>
            <w:tcW w:w="180" w:type="pct"/>
            <w:tcBorders>
              <w:top w:val="nil"/>
              <w:left w:val="nil"/>
              <w:bottom w:val="nil"/>
              <w:right w:val="nil"/>
            </w:tcBorders>
            <w:vAlign w:val="bottom"/>
          </w:tcPr>
          <w:p w14:paraId="51952687" w14:textId="77777777" w:rsidR="00B478A5" w:rsidRPr="005C3983" w:rsidRDefault="00B478A5" w:rsidP="00415B40">
            <w:pPr>
              <w:pStyle w:val="chiffrestableau"/>
            </w:pPr>
          </w:p>
        </w:tc>
        <w:tc>
          <w:tcPr>
            <w:tcW w:w="630" w:type="pct"/>
            <w:tcBorders>
              <w:top w:val="single" w:sz="4" w:space="0" w:color="auto"/>
              <w:left w:val="nil"/>
              <w:bottom w:val="single" w:sz="4" w:space="0" w:color="auto"/>
              <w:right w:val="nil"/>
            </w:tcBorders>
          </w:tcPr>
          <w:p w14:paraId="61F3F829" w14:textId="77777777" w:rsidR="00B478A5" w:rsidRPr="005C3983" w:rsidRDefault="00B478A5" w:rsidP="00415B40">
            <w:pPr>
              <w:pStyle w:val="chiffrestableau"/>
            </w:pPr>
          </w:p>
        </w:tc>
        <w:tc>
          <w:tcPr>
            <w:tcW w:w="170" w:type="pct"/>
            <w:tcBorders>
              <w:top w:val="single" w:sz="4" w:space="0" w:color="auto"/>
              <w:left w:val="nil"/>
              <w:bottom w:val="single" w:sz="4" w:space="0" w:color="auto"/>
              <w:right w:val="nil"/>
            </w:tcBorders>
          </w:tcPr>
          <w:p w14:paraId="6784250B" w14:textId="77777777" w:rsidR="00B478A5" w:rsidRPr="005C3983" w:rsidRDefault="00B478A5" w:rsidP="00415B40">
            <w:pPr>
              <w:pStyle w:val="chiffrestableau"/>
            </w:pPr>
          </w:p>
        </w:tc>
        <w:tc>
          <w:tcPr>
            <w:tcW w:w="593" w:type="pct"/>
            <w:tcBorders>
              <w:top w:val="single" w:sz="4" w:space="0" w:color="auto"/>
              <w:left w:val="nil"/>
              <w:bottom w:val="single" w:sz="4" w:space="0" w:color="auto"/>
              <w:right w:val="nil"/>
            </w:tcBorders>
            <w:vAlign w:val="bottom"/>
          </w:tcPr>
          <w:p w14:paraId="538E0344" w14:textId="77777777" w:rsidR="00B478A5" w:rsidRPr="005C3983" w:rsidRDefault="00B478A5" w:rsidP="00415B40">
            <w:pPr>
              <w:pStyle w:val="chiffrestableau"/>
            </w:pPr>
            <w:r w:rsidRPr="005C3983">
              <w:t>xx</w:t>
            </w:r>
          </w:p>
        </w:tc>
        <w:tc>
          <w:tcPr>
            <w:tcW w:w="169" w:type="pct"/>
            <w:tcBorders>
              <w:top w:val="nil"/>
              <w:left w:val="nil"/>
              <w:bottom w:val="nil"/>
              <w:right w:val="nil"/>
            </w:tcBorders>
          </w:tcPr>
          <w:p w14:paraId="0A20339A" w14:textId="77777777" w:rsidR="00B478A5" w:rsidRPr="005C3983" w:rsidRDefault="00B478A5" w:rsidP="00415B40">
            <w:pPr>
              <w:pStyle w:val="chiffrestableau"/>
            </w:pPr>
          </w:p>
        </w:tc>
        <w:tc>
          <w:tcPr>
            <w:tcW w:w="546" w:type="pct"/>
            <w:tcBorders>
              <w:top w:val="single" w:sz="4" w:space="0" w:color="auto"/>
              <w:left w:val="nil"/>
              <w:bottom w:val="single" w:sz="4" w:space="0" w:color="auto"/>
              <w:right w:val="nil"/>
            </w:tcBorders>
          </w:tcPr>
          <w:p w14:paraId="10686401" w14:textId="77777777" w:rsidR="00B478A5" w:rsidRPr="005C3983" w:rsidRDefault="00B478A5" w:rsidP="00415B40">
            <w:pPr>
              <w:pStyle w:val="chiffrestableau"/>
            </w:pPr>
          </w:p>
        </w:tc>
        <w:tc>
          <w:tcPr>
            <w:tcW w:w="170" w:type="pct"/>
            <w:tcBorders>
              <w:top w:val="single" w:sz="4" w:space="0" w:color="auto"/>
              <w:left w:val="nil"/>
              <w:bottom w:val="single" w:sz="4" w:space="0" w:color="auto"/>
              <w:right w:val="nil"/>
            </w:tcBorders>
          </w:tcPr>
          <w:p w14:paraId="0FD131AA" w14:textId="77777777" w:rsidR="00B478A5" w:rsidRPr="005C3983" w:rsidRDefault="00B478A5" w:rsidP="00415B40">
            <w:pPr>
              <w:pStyle w:val="chiffrestableau"/>
            </w:pPr>
          </w:p>
        </w:tc>
        <w:tc>
          <w:tcPr>
            <w:tcW w:w="593" w:type="pct"/>
            <w:tcBorders>
              <w:top w:val="single" w:sz="4" w:space="0" w:color="auto"/>
              <w:left w:val="nil"/>
              <w:bottom w:val="single" w:sz="4" w:space="0" w:color="auto"/>
              <w:right w:val="nil"/>
            </w:tcBorders>
            <w:vAlign w:val="bottom"/>
          </w:tcPr>
          <w:p w14:paraId="676AFC2E" w14:textId="77777777" w:rsidR="00B478A5" w:rsidRPr="005C3983" w:rsidRDefault="00B478A5" w:rsidP="00415B40">
            <w:pPr>
              <w:pStyle w:val="chiffrestableau"/>
            </w:pPr>
            <w:r w:rsidRPr="005C3983">
              <w:t>xx</w:t>
            </w:r>
          </w:p>
        </w:tc>
      </w:tr>
      <w:tr w:rsidR="00B478A5" w:rsidRPr="005C3983" w14:paraId="458C5093" w14:textId="77777777" w:rsidTr="005117F9">
        <w:trPr>
          <w:trHeight w:val="207"/>
        </w:trPr>
        <w:tc>
          <w:tcPr>
            <w:tcW w:w="1949" w:type="pct"/>
            <w:tcBorders>
              <w:top w:val="single" w:sz="4" w:space="0" w:color="auto"/>
              <w:left w:val="nil"/>
              <w:bottom w:val="single" w:sz="4" w:space="0" w:color="auto"/>
              <w:right w:val="nil"/>
            </w:tcBorders>
            <w:vAlign w:val="bottom"/>
          </w:tcPr>
          <w:p w14:paraId="157C1325" w14:textId="77777777" w:rsidR="00B478A5" w:rsidRPr="005C3983" w:rsidRDefault="00B478A5" w:rsidP="00415B40">
            <w:pPr>
              <w:pStyle w:val="Normaltableau"/>
            </w:pPr>
            <w:r w:rsidRPr="005C3983">
              <w:t>Contrats de change à terme</w:t>
            </w:r>
            <w:r>
              <w:t xml:space="preserve"> à la juste valeur</w:t>
            </w:r>
          </w:p>
        </w:tc>
        <w:tc>
          <w:tcPr>
            <w:tcW w:w="180" w:type="pct"/>
            <w:tcBorders>
              <w:top w:val="nil"/>
              <w:left w:val="nil"/>
              <w:bottom w:val="nil"/>
              <w:right w:val="nil"/>
            </w:tcBorders>
            <w:vAlign w:val="bottom"/>
          </w:tcPr>
          <w:p w14:paraId="53F7240B" w14:textId="77777777" w:rsidR="00B478A5" w:rsidRPr="005C3983" w:rsidRDefault="00B478A5" w:rsidP="00415B40">
            <w:pPr>
              <w:pStyle w:val="chiffrestableau"/>
            </w:pPr>
          </w:p>
        </w:tc>
        <w:tc>
          <w:tcPr>
            <w:tcW w:w="630" w:type="pct"/>
            <w:tcBorders>
              <w:top w:val="single" w:sz="4" w:space="0" w:color="auto"/>
              <w:left w:val="nil"/>
              <w:bottom w:val="single" w:sz="4" w:space="0" w:color="auto"/>
              <w:right w:val="nil"/>
            </w:tcBorders>
          </w:tcPr>
          <w:p w14:paraId="4B2E9D47" w14:textId="77777777" w:rsidR="00B478A5" w:rsidRPr="005C3983" w:rsidRDefault="00B478A5" w:rsidP="00415B40">
            <w:pPr>
              <w:pStyle w:val="chiffrestableau"/>
            </w:pPr>
          </w:p>
        </w:tc>
        <w:tc>
          <w:tcPr>
            <w:tcW w:w="170" w:type="pct"/>
            <w:tcBorders>
              <w:top w:val="single" w:sz="4" w:space="0" w:color="auto"/>
              <w:left w:val="nil"/>
              <w:bottom w:val="single" w:sz="4" w:space="0" w:color="auto"/>
              <w:right w:val="nil"/>
            </w:tcBorders>
          </w:tcPr>
          <w:p w14:paraId="56547A1E" w14:textId="77777777" w:rsidR="00B478A5" w:rsidRPr="005C3983" w:rsidRDefault="00B478A5" w:rsidP="00415B40">
            <w:pPr>
              <w:pStyle w:val="chiffrestableau"/>
            </w:pPr>
          </w:p>
        </w:tc>
        <w:tc>
          <w:tcPr>
            <w:tcW w:w="593" w:type="pct"/>
            <w:tcBorders>
              <w:top w:val="single" w:sz="4" w:space="0" w:color="auto"/>
              <w:left w:val="nil"/>
              <w:bottom w:val="single" w:sz="4" w:space="0" w:color="auto"/>
              <w:right w:val="nil"/>
            </w:tcBorders>
            <w:vAlign w:val="bottom"/>
          </w:tcPr>
          <w:p w14:paraId="01DDBC20" w14:textId="77777777" w:rsidR="00B478A5" w:rsidRPr="005C3983" w:rsidRDefault="00B478A5" w:rsidP="00415B40">
            <w:pPr>
              <w:pStyle w:val="chiffrestableau"/>
            </w:pPr>
            <w:r w:rsidRPr="005C3983">
              <w:t>(xx)</w:t>
            </w:r>
          </w:p>
        </w:tc>
        <w:tc>
          <w:tcPr>
            <w:tcW w:w="169" w:type="pct"/>
            <w:tcBorders>
              <w:top w:val="nil"/>
              <w:left w:val="nil"/>
              <w:bottom w:val="nil"/>
              <w:right w:val="nil"/>
            </w:tcBorders>
          </w:tcPr>
          <w:p w14:paraId="3286C854" w14:textId="77777777" w:rsidR="00B478A5" w:rsidRPr="005C3983" w:rsidRDefault="00B478A5" w:rsidP="00415B40">
            <w:pPr>
              <w:pStyle w:val="chiffrestableau"/>
            </w:pPr>
          </w:p>
        </w:tc>
        <w:tc>
          <w:tcPr>
            <w:tcW w:w="546" w:type="pct"/>
            <w:tcBorders>
              <w:top w:val="single" w:sz="4" w:space="0" w:color="auto"/>
              <w:left w:val="nil"/>
              <w:bottom w:val="single" w:sz="4" w:space="0" w:color="auto"/>
              <w:right w:val="nil"/>
            </w:tcBorders>
          </w:tcPr>
          <w:p w14:paraId="77C01AE7" w14:textId="77777777" w:rsidR="00B478A5" w:rsidRPr="005C3983" w:rsidRDefault="00B478A5" w:rsidP="00415B40">
            <w:pPr>
              <w:pStyle w:val="chiffrestableau"/>
            </w:pPr>
          </w:p>
        </w:tc>
        <w:tc>
          <w:tcPr>
            <w:tcW w:w="170" w:type="pct"/>
            <w:tcBorders>
              <w:top w:val="single" w:sz="4" w:space="0" w:color="auto"/>
              <w:left w:val="nil"/>
              <w:bottom w:val="single" w:sz="4" w:space="0" w:color="auto"/>
              <w:right w:val="nil"/>
            </w:tcBorders>
          </w:tcPr>
          <w:p w14:paraId="1FD4FF57" w14:textId="77777777" w:rsidR="00B478A5" w:rsidRPr="005C3983" w:rsidRDefault="00B478A5" w:rsidP="00415B40">
            <w:pPr>
              <w:pStyle w:val="chiffrestableau"/>
            </w:pPr>
          </w:p>
        </w:tc>
        <w:tc>
          <w:tcPr>
            <w:tcW w:w="593" w:type="pct"/>
            <w:tcBorders>
              <w:top w:val="single" w:sz="4" w:space="0" w:color="auto"/>
              <w:left w:val="nil"/>
              <w:bottom w:val="single" w:sz="4" w:space="0" w:color="auto"/>
              <w:right w:val="nil"/>
            </w:tcBorders>
            <w:vAlign w:val="bottom"/>
          </w:tcPr>
          <w:p w14:paraId="495463FA" w14:textId="77777777" w:rsidR="00B478A5" w:rsidRPr="005C3983" w:rsidRDefault="00B478A5" w:rsidP="00415B40">
            <w:pPr>
              <w:pStyle w:val="chiffrestableau"/>
            </w:pPr>
            <w:r w:rsidRPr="005C3983">
              <w:t>(xx)</w:t>
            </w:r>
          </w:p>
        </w:tc>
      </w:tr>
      <w:tr w:rsidR="00B478A5" w:rsidRPr="005C3983" w14:paraId="1F6879E3" w14:textId="77777777" w:rsidTr="005117F9">
        <w:trPr>
          <w:trHeight w:val="207"/>
        </w:trPr>
        <w:tc>
          <w:tcPr>
            <w:tcW w:w="1949" w:type="pct"/>
            <w:tcBorders>
              <w:top w:val="single" w:sz="4" w:space="0" w:color="auto"/>
              <w:left w:val="nil"/>
              <w:bottom w:val="single" w:sz="12" w:space="0" w:color="auto"/>
              <w:right w:val="nil"/>
            </w:tcBorders>
            <w:vAlign w:val="bottom"/>
          </w:tcPr>
          <w:p w14:paraId="32FC00AD" w14:textId="77777777" w:rsidR="00B478A5" w:rsidRPr="005C3983" w:rsidRDefault="00B478A5" w:rsidP="00415B40">
            <w:pPr>
              <w:pStyle w:val="Normaltableau"/>
            </w:pPr>
            <w:r w:rsidRPr="005C3983">
              <w:t>Exposition nette</w:t>
            </w:r>
          </w:p>
        </w:tc>
        <w:tc>
          <w:tcPr>
            <w:tcW w:w="180" w:type="pct"/>
            <w:tcBorders>
              <w:top w:val="nil"/>
              <w:left w:val="nil"/>
              <w:bottom w:val="single" w:sz="12" w:space="0" w:color="auto"/>
              <w:right w:val="nil"/>
            </w:tcBorders>
            <w:vAlign w:val="bottom"/>
          </w:tcPr>
          <w:p w14:paraId="08B2CE8F" w14:textId="77777777" w:rsidR="00B478A5" w:rsidRPr="005C3983" w:rsidRDefault="00B478A5" w:rsidP="00415B40">
            <w:pPr>
              <w:pStyle w:val="chiffrestableau"/>
            </w:pPr>
          </w:p>
        </w:tc>
        <w:tc>
          <w:tcPr>
            <w:tcW w:w="630" w:type="pct"/>
            <w:tcBorders>
              <w:top w:val="single" w:sz="4" w:space="0" w:color="auto"/>
              <w:left w:val="nil"/>
              <w:bottom w:val="single" w:sz="12" w:space="0" w:color="auto"/>
              <w:right w:val="nil"/>
            </w:tcBorders>
          </w:tcPr>
          <w:p w14:paraId="4EAAF208" w14:textId="77777777" w:rsidR="00B478A5" w:rsidRPr="005C3983" w:rsidRDefault="00B478A5" w:rsidP="00415B40">
            <w:pPr>
              <w:pStyle w:val="chiffrestableau"/>
            </w:pPr>
          </w:p>
        </w:tc>
        <w:tc>
          <w:tcPr>
            <w:tcW w:w="170" w:type="pct"/>
            <w:tcBorders>
              <w:top w:val="single" w:sz="4" w:space="0" w:color="auto"/>
              <w:left w:val="nil"/>
              <w:bottom w:val="single" w:sz="12" w:space="0" w:color="auto"/>
              <w:right w:val="nil"/>
            </w:tcBorders>
          </w:tcPr>
          <w:p w14:paraId="0F13EB96" w14:textId="77777777" w:rsidR="00B478A5" w:rsidRPr="005C3983" w:rsidRDefault="00B478A5" w:rsidP="00415B40">
            <w:pPr>
              <w:pStyle w:val="chiffrestableau"/>
            </w:pPr>
          </w:p>
        </w:tc>
        <w:tc>
          <w:tcPr>
            <w:tcW w:w="593" w:type="pct"/>
            <w:tcBorders>
              <w:top w:val="single" w:sz="4" w:space="0" w:color="auto"/>
              <w:left w:val="nil"/>
              <w:bottom w:val="single" w:sz="12" w:space="0" w:color="auto"/>
              <w:right w:val="nil"/>
            </w:tcBorders>
            <w:vAlign w:val="bottom"/>
          </w:tcPr>
          <w:p w14:paraId="0A418255" w14:textId="77777777" w:rsidR="00B478A5" w:rsidRPr="005C3983" w:rsidRDefault="00B478A5" w:rsidP="00415B40">
            <w:pPr>
              <w:pStyle w:val="chiffrestableau"/>
            </w:pPr>
            <w:r w:rsidRPr="005C3983">
              <w:t>xx</w:t>
            </w:r>
          </w:p>
        </w:tc>
        <w:tc>
          <w:tcPr>
            <w:tcW w:w="169" w:type="pct"/>
            <w:tcBorders>
              <w:top w:val="nil"/>
              <w:left w:val="nil"/>
              <w:bottom w:val="single" w:sz="12" w:space="0" w:color="auto"/>
              <w:right w:val="nil"/>
            </w:tcBorders>
          </w:tcPr>
          <w:p w14:paraId="0E31AA22" w14:textId="77777777" w:rsidR="00B478A5" w:rsidRPr="005C3983" w:rsidRDefault="00B478A5" w:rsidP="00415B40">
            <w:pPr>
              <w:pStyle w:val="chiffrestableau"/>
            </w:pPr>
          </w:p>
        </w:tc>
        <w:tc>
          <w:tcPr>
            <w:tcW w:w="546" w:type="pct"/>
            <w:tcBorders>
              <w:top w:val="single" w:sz="4" w:space="0" w:color="auto"/>
              <w:left w:val="nil"/>
              <w:bottom w:val="single" w:sz="12" w:space="0" w:color="auto"/>
              <w:right w:val="nil"/>
            </w:tcBorders>
          </w:tcPr>
          <w:p w14:paraId="2258971F" w14:textId="77777777" w:rsidR="00B478A5" w:rsidRPr="005C3983" w:rsidRDefault="00B478A5" w:rsidP="00415B40">
            <w:pPr>
              <w:pStyle w:val="chiffrestableau"/>
            </w:pPr>
          </w:p>
        </w:tc>
        <w:tc>
          <w:tcPr>
            <w:tcW w:w="170" w:type="pct"/>
            <w:tcBorders>
              <w:top w:val="single" w:sz="4" w:space="0" w:color="auto"/>
              <w:left w:val="nil"/>
              <w:bottom w:val="single" w:sz="12" w:space="0" w:color="auto"/>
              <w:right w:val="nil"/>
            </w:tcBorders>
          </w:tcPr>
          <w:p w14:paraId="3BAA3FA7" w14:textId="77777777" w:rsidR="00B478A5" w:rsidRPr="005C3983" w:rsidRDefault="00B478A5" w:rsidP="00415B40">
            <w:pPr>
              <w:pStyle w:val="chiffrestableau"/>
            </w:pPr>
          </w:p>
        </w:tc>
        <w:tc>
          <w:tcPr>
            <w:tcW w:w="593" w:type="pct"/>
            <w:tcBorders>
              <w:top w:val="single" w:sz="4" w:space="0" w:color="auto"/>
              <w:left w:val="nil"/>
              <w:bottom w:val="single" w:sz="12" w:space="0" w:color="auto"/>
              <w:right w:val="nil"/>
            </w:tcBorders>
            <w:vAlign w:val="bottom"/>
          </w:tcPr>
          <w:p w14:paraId="0D58B6C6" w14:textId="77777777" w:rsidR="00B478A5" w:rsidRPr="005C3983" w:rsidRDefault="00B478A5" w:rsidP="00415B40">
            <w:pPr>
              <w:pStyle w:val="chiffrestableau"/>
            </w:pPr>
            <w:r w:rsidRPr="005C3983">
              <w:t>xx</w:t>
            </w:r>
          </w:p>
        </w:tc>
      </w:tr>
    </w:tbl>
    <w:p w14:paraId="7D1F5AAA" w14:textId="77777777" w:rsidR="00B478A5" w:rsidRDefault="00B478A5" w:rsidP="00415B40">
      <w:r w:rsidRPr="005C3983">
        <w:lastRenderedPageBreak/>
        <w:t xml:space="preserve">À la date de l’état de la situation financière, le taux de change pour le dollar américain est de </w:t>
      </w:r>
      <w:r w:rsidRPr="00704EEF">
        <w:rPr>
          <w:color w:val="FF0000"/>
        </w:rPr>
        <w:t>X</w:t>
      </w:r>
      <w:r w:rsidRPr="005C3983">
        <w:t xml:space="preserve"> (</w:t>
      </w:r>
      <w:r w:rsidRPr="00704EEF">
        <w:rPr>
          <w:color w:val="FF0000"/>
        </w:rPr>
        <w:t>X</w:t>
      </w:r>
      <w:r w:rsidRPr="005C3983">
        <w:t xml:space="preserve"> en </w:t>
      </w:r>
      <w:r w:rsidRPr="00704EEF">
        <w:rPr>
          <w:color w:val="FF0000"/>
        </w:rPr>
        <w:t>20X1</w:t>
      </w:r>
      <w:r w:rsidRPr="005C3983">
        <w:t xml:space="preserve">) et le taux de change moyen de l’exercice est de </w:t>
      </w:r>
      <w:r w:rsidRPr="00704EEF">
        <w:rPr>
          <w:color w:val="FF0000"/>
        </w:rPr>
        <w:t>X</w:t>
      </w:r>
      <w:r w:rsidRPr="005C3983">
        <w:t xml:space="preserve"> (</w:t>
      </w:r>
      <w:r w:rsidRPr="00704EEF">
        <w:rPr>
          <w:color w:val="FF0000"/>
        </w:rPr>
        <w:t>X</w:t>
      </w:r>
      <w:r w:rsidRPr="005C3983">
        <w:t xml:space="preserve"> en </w:t>
      </w:r>
      <w:r w:rsidRPr="00704EEF">
        <w:rPr>
          <w:color w:val="FF0000"/>
        </w:rPr>
        <w:t>20X1</w:t>
      </w:r>
      <w:r w:rsidRPr="005C3983">
        <w:t>).</w:t>
      </w:r>
    </w:p>
    <w:p w14:paraId="36E6351A" w14:textId="4BC604F7" w:rsidR="00B478A5" w:rsidRDefault="00B478A5" w:rsidP="009A7435">
      <w:r w:rsidRPr="005C3983">
        <w:t xml:space="preserve">Une variation du dollar canadien de </w:t>
      </w:r>
      <w:r w:rsidRPr="009A7435">
        <w:rPr>
          <w:color w:val="FF0000"/>
        </w:rPr>
        <w:t>X</w:t>
      </w:r>
      <w:r w:rsidRPr="005C3983">
        <w:t> </w:t>
      </w:r>
      <w:proofErr w:type="gramStart"/>
      <w:r w:rsidRPr="005C3983">
        <w:t>%</w:t>
      </w:r>
      <w:r w:rsidR="00F023CA">
        <w:t xml:space="preserve"> </w:t>
      </w:r>
      <w:r w:rsidRPr="005C3983">
        <w:t xml:space="preserve"> par</w:t>
      </w:r>
      <w:proofErr w:type="gramEnd"/>
      <w:r w:rsidRPr="005C3983">
        <w:t xml:space="preserve"> rapport au dollar américain à la date de l’état de la situation financière aurait augmenté </w:t>
      </w:r>
      <w:r>
        <w:t>(</w:t>
      </w:r>
      <w:r w:rsidRPr="005C3983">
        <w:t>diminué</w:t>
      </w:r>
      <w:r>
        <w:t>)</w:t>
      </w:r>
      <w:r w:rsidRPr="005C3983">
        <w:t xml:space="preserve"> de </w:t>
      </w:r>
      <w:r w:rsidRPr="009A7435">
        <w:rPr>
          <w:color w:val="FF0000"/>
        </w:rPr>
        <w:t>X</w:t>
      </w:r>
      <w:r w:rsidR="006841DF" w:rsidRPr="009A7435">
        <w:rPr>
          <w:color w:val="FF0000"/>
        </w:rPr>
        <w:t>X</w:t>
      </w:r>
      <w:r w:rsidRPr="005C3983">
        <w:t xml:space="preserve"> de dollars l’excédent annuel lié aux activités </w:t>
      </w:r>
      <w:r>
        <w:t xml:space="preserve">de </w:t>
      </w:r>
      <w:r w:rsidRPr="009A7435">
        <w:rPr>
          <w:color w:val="FF0000"/>
        </w:rPr>
        <w:t>20X2</w:t>
      </w:r>
      <w:r>
        <w:t xml:space="preserve"> </w:t>
      </w:r>
      <w:r w:rsidRPr="005C3983">
        <w:t>et</w:t>
      </w:r>
      <w:r>
        <w:t xml:space="preserve"> aurait augmenté (diminué)</w:t>
      </w:r>
      <w:r w:rsidRPr="009A7AC3">
        <w:t xml:space="preserve"> </w:t>
      </w:r>
      <w:r w:rsidRPr="005C3983">
        <w:t>les gains et pertes de réévaluation</w:t>
      </w:r>
      <w:r>
        <w:t xml:space="preserve"> de </w:t>
      </w:r>
      <w:r w:rsidRPr="009A7435">
        <w:rPr>
          <w:color w:val="FF0000"/>
        </w:rPr>
        <w:t>20X2</w:t>
      </w:r>
      <w:r w:rsidRPr="005C3983">
        <w:t xml:space="preserve"> de </w:t>
      </w:r>
      <w:r w:rsidRPr="009A7435">
        <w:rPr>
          <w:color w:val="FF0000"/>
        </w:rPr>
        <w:t>X</w:t>
      </w:r>
      <w:r w:rsidR="00256431" w:rsidRPr="009A7435">
        <w:rPr>
          <w:color w:val="FF0000"/>
        </w:rPr>
        <w:t>X</w:t>
      </w:r>
      <w:r>
        <w:t xml:space="preserve"> de dollars.</w:t>
      </w:r>
      <w:r w:rsidRPr="005C3983">
        <w:t xml:space="preserve"> </w:t>
      </w:r>
    </w:p>
    <w:p w14:paraId="388FFE56" w14:textId="77777777" w:rsidR="00B478A5" w:rsidRPr="008B2BB2" w:rsidRDefault="00B478A5" w:rsidP="005658C7">
      <w:pPr>
        <w:pStyle w:val="Titre3"/>
      </w:pPr>
      <w:bookmarkStart w:id="17" w:name="_Toc118905541"/>
      <w:r w:rsidRPr="00A917DE">
        <w:t>R</w:t>
      </w:r>
      <w:r>
        <w:t>isque de taux d’intérêt</w:t>
      </w:r>
      <w:bookmarkEnd w:id="17"/>
      <w:r w:rsidRPr="00A917DE">
        <w:t xml:space="preserve"> </w:t>
      </w:r>
    </w:p>
    <w:p w14:paraId="071D058F" w14:textId="49DF3051" w:rsidR="00B478A5" w:rsidRPr="005C3983" w:rsidRDefault="00B478A5" w:rsidP="009A7435">
      <w:r w:rsidRPr="005C3983">
        <w:t>L’exposition au risque de taux d’intérêt de l’</w:t>
      </w:r>
      <w:r w:rsidR="00C70202">
        <w:t>organisme municipal</w:t>
      </w:r>
      <w:r w:rsidRPr="005C3983">
        <w:t xml:space="preserve"> est attribuable à ses actifs et passifs financiers portant intérêt. Pour les instruments financiers portant intérêt à taux fixes, la volatilité des taux d’intérêt se répercute sur la juste valeur des actifs et des passifs financiers, mais comme </w:t>
      </w:r>
      <w:r w:rsidRPr="009A7435">
        <w:rPr>
          <w:iCs/>
        </w:rPr>
        <w:t>l’</w:t>
      </w:r>
      <w:r w:rsidR="004848CA" w:rsidRPr="009A7435">
        <w:rPr>
          <w:iCs/>
        </w:rPr>
        <w:t>o</w:t>
      </w:r>
      <w:r w:rsidR="00C70202" w:rsidRPr="009A7435">
        <w:rPr>
          <w:iCs/>
        </w:rPr>
        <w:t xml:space="preserve">rganisme municipal </w:t>
      </w:r>
      <w:r w:rsidRPr="009A7435">
        <w:rPr>
          <w:iCs/>
        </w:rPr>
        <w:t>a l’intention</w:t>
      </w:r>
      <w:r w:rsidRPr="005C3983">
        <w:t xml:space="preserve"> </w:t>
      </w:r>
      <w:r w:rsidR="00A81348" w:rsidRPr="00B21F9A">
        <w:rPr>
          <w:color w:val="FF0000"/>
        </w:rPr>
        <w:t>[</w:t>
      </w:r>
      <w:r w:rsidRPr="00B21F9A">
        <w:rPr>
          <w:i/>
          <w:iCs/>
          <w:color w:val="FF0000"/>
        </w:rPr>
        <w:t xml:space="preserve">de conserver ses prêts et ses placements jusqu’à échéance et prévoit rembourser ses emprunts et ses dettes selon l’échéance prévue, </w:t>
      </w:r>
      <w:r w:rsidR="00035ADC">
        <w:rPr>
          <w:i/>
          <w:iCs/>
          <w:color w:val="FF0000"/>
        </w:rPr>
        <w:t>il</w:t>
      </w:r>
      <w:r w:rsidRPr="00B21F9A">
        <w:rPr>
          <w:i/>
          <w:iCs/>
          <w:color w:val="FF0000"/>
        </w:rPr>
        <w:t xml:space="preserve"> est peu exposé à ce risque</w:t>
      </w:r>
      <w:r w:rsidRPr="00B21F9A">
        <w:rPr>
          <w:color w:val="FF0000"/>
        </w:rPr>
        <w:t>.</w:t>
      </w:r>
      <w:r w:rsidR="00F40E34" w:rsidRPr="00B21F9A">
        <w:rPr>
          <w:color w:val="FF0000"/>
        </w:rPr>
        <w:t>]</w:t>
      </w:r>
    </w:p>
    <w:p w14:paraId="7F6AEA08" w14:textId="124D67B9" w:rsidR="00B478A5" w:rsidRDefault="00B478A5" w:rsidP="00643EEE">
      <w:r w:rsidRPr="00643EEE">
        <w:t>L’</w:t>
      </w:r>
      <w:r w:rsidR="0026180C" w:rsidRPr="00643EEE">
        <w:t>o</w:t>
      </w:r>
      <w:r w:rsidR="00C70202" w:rsidRPr="00643EEE">
        <w:t xml:space="preserve">rganisme municipal </w:t>
      </w:r>
      <w:r w:rsidRPr="00643EEE">
        <w:t>est</w:t>
      </w:r>
      <w:r w:rsidRPr="005C3983">
        <w:t xml:space="preserve"> </w:t>
      </w:r>
      <w:r w:rsidR="00F40E34" w:rsidRPr="005C3983">
        <w:t>exposé</w:t>
      </w:r>
      <w:r w:rsidRPr="005C3983">
        <w:t xml:space="preserve"> au risque associé aux variations des taux d’intérêt de ses emprunts à taux variables. Ce risque est réduit puisque ces emprunts se renouvellent automatiquement à la fin du mois.</w:t>
      </w:r>
      <w:r>
        <w:t xml:space="preserve"> </w:t>
      </w:r>
    </w:p>
    <w:p w14:paraId="43A11FC1" w14:textId="77777777" w:rsidR="00B478A5" w:rsidRPr="005C3983" w:rsidRDefault="00B478A5" w:rsidP="00643EEE">
      <w:r>
        <w:t xml:space="preserve">La valeur comptable des instruments financiers portant intérêt se détaille comme suit : </w:t>
      </w:r>
    </w:p>
    <w:tbl>
      <w:tblPr>
        <w:tblW w:w="5000" w:type="pct"/>
        <w:tblLook w:val="04A0" w:firstRow="1" w:lastRow="0" w:firstColumn="1" w:lastColumn="0" w:noHBand="0" w:noVBand="1"/>
      </w:tblPr>
      <w:tblGrid>
        <w:gridCol w:w="2160"/>
        <w:gridCol w:w="2160"/>
        <w:gridCol w:w="2473"/>
        <w:gridCol w:w="1847"/>
      </w:tblGrid>
      <w:tr w:rsidR="00B478A5" w:rsidRPr="00643EEE" w14:paraId="5B22C8C2" w14:textId="77777777" w:rsidTr="005117F9">
        <w:trPr>
          <w:trHeight w:hRule="exact" w:val="340"/>
        </w:trPr>
        <w:tc>
          <w:tcPr>
            <w:tcW w:w="5000" w:type="pct"/>
            <w:gridSpan w:val="4"/>
            <w:tcBorders>
              <w:top w:val="single" w:sz="4" w:space="0" w:color="auto"/>
            </w:tcBorders>
            <w:shd w:val="clear" w:color="auto" w:fill="D9D9D9" w:themeFill="background1" w:themeFillShade="D9"/>
          </w:tcPr>
          <w:p w14:paraId="174C09DB" w14:textId="3E90E4F2" w:rsidR="00B478A5" w:rsidRPr="00643EEE" w:rsidRDefault="00B478A5" w:rsidP="00643EEE">
            <w:pPr>
              <w:pStyle w:val="Texteprincipal"/>
              <w:spacing w:before="0" w:after="0"/>
              <w:rPr>
                <w:sz w:val="20"/>
                <w:szCs w:val="20"/>
              </w:rPr>
            </w:pPr>
            <w:r w:rsidRPr="00643EEE">
              <w:rPr>
                <w:sz w:val="20"/>
                <w:szCs w:val="20"/>
              </w:rPr>
              <w:t>31 </w:t>
            </w:r>
            <w:r w:rsidR="004848CA" w:rsidRPr="00643EEE">
              <w:rPr>
                <w:sz w:val="20"/>
                <w:szCs w:val="20"/>
              </w:rPr>
              <w:t>décembre</w:t>
            </w:r>
            <w:r w:rsidRPr="00643EEE">
              <w:rPr>
                <w:sz w:val="20"/>
                <w:szCs w:val="20"/>
              </w:rPr>
              <w:t> 20X2</w:t>
            </w:r>
          </w:p>
        </w:tc>
      </w:tr>
      <w:tr w:rsidR="00B478A5" w:rsidRPr="00643EEE" w14:paraId="154329EE" w14:textId="77777777" w:rsidTr="005117F9">
        <w:trPr>
          <w:trHeight w:hRule="exact" w:val="340"/>
        </w:trPr>
        <w:tc>
          <w:tcPr>
            <w:tcW w:w="1250" w:type="pct"/>
            <w:shd w:val="clear" w:color="auto" w:fill="D9D9D9" w:themeFill="background1" w:themeFillShade="D9"/>
          </w:tcPr>
          <w:p w14:paraId="607CAF23" w14:textId="77777777" w:rsidR="00B478A5" w:rsidRPr="00643EEE" w:rsidRDefault="00B478A5" w:rsidP="00643EEE">
            <w:pPr>
              <w:pStyle w:val="Texteprincipal"/>
              <w:spacing w:before="0" w:after="0"/>
              <w:rPr>
                <w:sz w:val="20"/>
                <w:szCs w:val="20"/>
              </w:rPr>
            </w:pPr>
          </w:p>
        </w:tc>
        <w:tc>
          <w:tcPr>
            <w:tcW w:w="1250" w:type="pct"/>
            <w:shd w:val="clear" w:color="auto" w:fill="D9D9D9" w:themeFill="background1" w:themeFillShade="D9"/>
          </w:tcPr>
          <w:p w14:paraId="2A57CACD" w14:textId="77777777" w:rsidR="00B478A5" w:rsidRPr="00643EEE" w:rsidRDefault="00B478A5" w:rsidP="00643EEE">
            <w:pPr>
              <w:pStyle w:val="Texteprincipal"/>
              <w:spacing w:before="0" w:after="0"/>
              <w:rPr>
                <w:sz w:val="20"/>
                <w:szCs w:val="20"/>
              </w:rPr>
            </w:pPr>
            <w:r w:rsidRPr="00643EEE">
              <w:rPr>
                <w:sz w:val="20"/>
                <w:szCs w:val="20"/>
              </w:rPr>
              <w:t>Taux d’intérêt fixe</w:t>
            </w:r>
          </w:p>
        </w:tc>
        <w:tc>
          <w:tcPr>
            <w:tcW w:w="1431" w:type="pct"/>
            <w:shd w:val="clear" w:color="auto" w:fill="D9D9D9" w:themeFill="background1" w:themeFillShade="D9"/>
          </w:tcPr>
          <w:p w14:paraId="050BE255" w14:textId="77777777" w:rsidR="00B478A5" w:rsidRPr="00643EEE" w:rsidRDefault="00B478A5" w:rsidP="00643EEE">
            <w:pPr>
              <w:pStyle w:val="Texteprincipal"/>
              <w:spacing w:before="0" w:after="0"/>
              <w:rPr>
                <w:sz w:val="20"/>
                <w:szCs w:val="20"/>
              </w:rPr>
            </w:pPr>
            <w:r w:rsidRPr="00643EEE">
              <w:rPr>
                <w:sz w:val="20"/>
                <w:szCs w:val="20"/>
              </w:rPr>
              <w:t>Taux d’intérêt variable</w:t>
            </w:r>
          </w:p>
        </w:tc>
        <w:tc>
          <w:tcPr>
            <w:tcW w:w="1069" w:type="pct"/>
            <w:shd w:val="clear" w:color="auto" w:fill="D9D9D9" w:themeFill="background1" w:themeFillShade="D9"/>
          </w:tcPr>
          <w:p w14:paraId="33F691C6" w14:textId="77777777" w:rsidR="00B478A5" w:rsidRPr="00643EEE" w:rsidRDefault="00B478A5" w:rsidP="00643EEE">
            <w:pPr>
              <w:pStyle w:val="Texteprincipal"/>
              <w:spacing w:before="0" w:after="0"/>
              <w:rPr>
                <w:sz w:val="20"/>
                <w:szCs w:val="20"/>
              </w:rPr>
            </w:pPr>
            <w:r w:rsidRPr="00643EEE">
              <w:rPr>
                <w:sz w:val="20"/>
                <w:szCs w:val="20"/>
              </w:rPr>
              <w:t>Total</w:t>
            </w:r>
          </w:p>
        </w:tc>
      </w:tr>
      <w:tr w:rsidR="00B478A5" w:rsidRPr="00643EEE" w14:paraId="2A9ABEFD" w14:textId="77777777" w:rsidTr="00823984">
        <w:trPr>
          <w:trHeight w:hRule="exact" w:val="171"/>
        </w:trPr>
        <w:tc>
          <w:tcPr>
            <w:tcW w:w="1250" w:type="pct"/>
            <w:shd w:val="clear" w:color="auto" w:fill="D9D9D9" w:themeFill="background1" w:themeFillShade="D9"/>
          </w:tcPr>
          <w:p w14:paraId="4CAC5080" w14:textId="77777777" w:rsidR="00B478A5" w:rsidRPr="00643EEE" w:rsidRDefault="00B478A5" w:rsidP="00643EEE">
            <w:pPr>
              <w:pStyle w:val="Texteprincipal"/>
              <w:spacing w:before="0" w:after="0"/>
              <w:rPr>
                <w:sz w:val="20"/>
                <w:szCs w:val="20"/>
              </w:rPr>
            </w:pPr>
          </w:p>
        </w:tc>
        <w:tc>
          <w:tcPr>
            <w:tcW w:w="2681" w:type="pct"/>
            <w:gridSpan w:val="2"/>
            <w:shd w:val="clear" w:color="auto" w:fill="D9D9D9" w:themeFill="background1" w:themeFillShade="D9"/>
          </w:tcPr>
          <w:p w14:paraId="09990B74" w14:textId="77777777" w:rsidR="00B478A5" w:rsidRPr="00643EEE" w:rsidRDefault="00B478A5" w:rsidP="00643EEE">
            <w:pPr>
              <w:pStyle w:val="Texteprincipal"/>
              <w:spacing w:before="0" w:after="0"/>
              <w:rPr>
                <w:sz w:val="20"/>
                <w:szCs w:val="20"/>
              </w:rPr>
            </w:pPr>
          </w:p>
        </w:tc>
        <w:tc>
          <w:tcPr>
            <w:tcW w:w="1069" w:type="pct"/>
            <w:shd w:val="clear" w:color="auto" w:fill="D9D9D9" w:themeFill="background1" w:themeFillShade="D9"/>
          </w:tcPr>
          <w:p w14:paraId="4F592985" w14:textId="77777777" w:rsidR="00B478A5" w:rsidRPr="00643EEE" w:rsidRDefault="00B478A5" w:rsidP="00643EEE">
            <w:pPr>
              <w:pStyle w:val="Texteprincipal"/>
              <w:spacing w:before="0" w:after="0"/>
              <w:rPr>
                <w:sz w:val="20"/>
                <w:szCs w:val="20"/>
              </w:rPr>
            </w:pPr>
          </w:p>
        </w:tc>
      </w:tr>
      <w:tr w:rsidR="00B478A5" w:rsidRPr="00643EEE" w14:paraId="5F3B1DCA" w14:textId="77777777" w:rsidTr="005117F9">
        <w:trPr>
          <w:trHeight w:val="20"/>
        </w:trPr>
        <w:tc>
          <w:tcPr>
            <w:tcW w:w="1250" w:type="pct"/>
            <w:tcBorders>
              <w:top w:val="single" w:sz="4" w:space="0" w:color="auto"/>
            </w:tcBorders>
          </w:tcPr>
          <w:p w14:paraId="0D9DCA6D" w14:textId="77777777" w:rsidR="00B478A5" w:rsidRPr="00643EEE" w:rsidRDefault="00B478A5" w:rsidP="00643EEE">
            <w:pPr>
              <w:pStyle w:val="Texteprincipal"/>
              <w:spacing w:before="0" w:after="0"/>
              <w:rPr>
                <w:sz w:val="20"/>
                <w:szCs w:val="20"/>
              </w:rPr>
            </w:pPr>
            <w:r w:rsidRPr="00643EEE">
              <w:rPr>
                <w:sz w:val="20"/>
                <w:szCs w:val="20"/>
              </w:rPr>
              <w:t>Actifs financiers</w:t>
            </w:r>
          </w:p>
          <w:p w14:paraId="796B7B41" w14:textId="77777777" w:rsidR="00B478A5" w:rsidRPr="00643EEE" w:rsidRDefault="00B478A5" w:rsidP="00643EEE">
            <w:pPr>
              <w:pStyle w:val="Texteprincipal"/>
              <w:spacing w:before="0" w:after="0"/>
              <w:rPr>
                <w:sz w:val="20"/>
                <w:szCs w:val="20"/>
              </w:rPr>
            </w:pPr>
            <w:r w:rsidRPr="00643EEE">
              <w:rPr>
                <w:sz w:val="20"/>
                <w:szCs w:val="20"/>
              </w:rPr>
              <w:t>Trésorerie et équivalents de trésorerie</w:t>
            </w:r>
          </w:p>
        </w:tc>
        <w:tc>
          <w:tcPr>
            <w:tcW w:w="1250" w:type="pct"/>
            <w:tcBorders>
              <w:top w:val="single" w:sz="4" w:space="0" w:color="auto"/>
            </w:tcBorders>
          </w:tcPr>
          <w:p w14:paraId="2B646DA4" w14:textId="77777777" w:rsidR="00B478A5" w:rsidRPr="00643EEE" w:rsidRDefault="00B478A5" w:rsidP="00643EEE">
            <w:pPr>
              <w:pStyle w:val="Texteprincipal"/>
              <w:spacing w:before="0" w:after="0"/>
              <w:jc w:val="right"/>
              <w:rPr>
                <w:sz w:val="20"/>
                <w:szCs w:val="20"/>
              </w:rPr>
            </w:pPr>
          </w:p>
          <w:p w14:paraId="46CEFE53" w14:textId="77777777" w:rsidR="00B478A5" w:rsidRPr="00643EEE" w:rsidRDefault="00B478A5" w:rsidP="00643EEE">
            <w:pPr>
              <w:pStyle w:val="Texteprincipal"/>
              <w:spacing w:before="0" w:after="0"/>
              <w:jc w:val="right"/>
              <w:rPr>
                <w:sz w:val="20"/>
                <w:szCs w:val="20"/>
              </w:rPr>
            </w:pPr>
          </w:p>
        </w:tc>
        <w:tc>
          <w:tcPr>
            <w:tcW w:w="1431" w:type="pct"/>
            <w:tcBorders>
              <w:top w:val="single" w:sz="4" w:space="0" w:color="auto"/>
            </w:tcBorders>
          </w:tcPr>
          <w:p w14:paraId="0DFF9683" w14:textId="77777777" w:rsidR="00B478A5" w:rsidRPr="00643EEE" w:rsidRDefault="00B478A5" w:rsidP="00643EEE">
            <w:pPr>
              <w:pStyle w:val="Texteprincipal"/>
              <w:spacing w:before="0" w:after="0"/>
              <w:jc w:val="right"/>
              <w:rPr>
                <w:sz w:val="20"/>
                <w:szCs w:val="20"/>
              </w:rPr>
            </w:pPr>
          </w:p>
        </w:tc>
        <w:tc>
          <w:tcPr>
            <w:tcW w:w="1069" w:type="pct"/>
            <w:tcBorders>
              <w:top w:val="single" w:sz="4" w:space="0" w:color="auto"/>
            </w:tcBorders>
          </w:tcPr>
          <w:p w14:paraId="213DE9B2" w14:textId="77777777" w:rsidR="00B478A5" w:rsidRPr="00643EEE" w:rsidRDefault="00B478A5" w:rsidP="00643EEE">
            <w:pPr>
              <w:pStyle w:val="Texteprincipal"/>
              <w:spacing w:before="0" w:after="0"/>
              <w:jc w:val="right"/>
              <w:rPr>
                <w:sz w:val="20"/>
                <w:szCs w:val="20"/>
              </w:rPr>
            </w:pPr>
          </w:p>
        </w:tc>
      </w:tr>
      <w:tr w:rsidR="00B478A5" w:rsidRPr="00643EEE" w14:paraId="6939D747" w14:textId="77777777" w:rsidTr="005117F9">
        <w:trPr>
          <w:trHeight w:val="20"/>
        </w:trPr>
        <w:tc>
          <w:tcPr>
            <w:tcW w:w="1250" w:type="pct"/>
          </w:tcPr>
          <w:p w14:paraId="79F2BD33" w14:textId="77777777" w:rsidR="00B478A5" w:rsidRPr="00643EEE" w:rsidRDefault="00B478A5" w:rsidP="00643EEE">
            <w:pPr>
              <w:pStyle w:val="Texteprincipal"/>
              <w:spacing w:before="0" w:after="0"/>
              <w:rPr>
                <w:sz w:val="20"/>
                <w:szCs w:val="20"/>
              </w:rPr>
            </w:pPr>
            <w:r w:rsidRPr="00643EEE">
              <w:rPr>
                <w:sz w:val="20"/>
                <w:szCs w:val="20"/>
              </w:rPr>
              <w:t>Prêts</w:t>
            </w:r>
          </w:p>
        </w:tc>
        <w:tc>
          <w:tcPr>
            <w:tcW w:w="1250" w:type="pct"/>
            <w:vAlign w:val="bottom"/>
          </w:tcPr>
          <w:p w14:paraId="7051402A" w14:textId="77777777" w:rsidR="00B478A5" w:rsidRPr="00643EEE" w:rsidRDefault="00B478A5" w:rsidP="00643EEE">
            <w:pPr>
              <w:pStyle w:val="Texteprincipal"/>
              <w:spacing w:before="0" w:after="0"/>
              <w:jc w:val="right"/>
              <w:rPr>
                <w:sz w:val="20"/>
                <w:szCs w:val="20"/>
              </w:rPr>
            </w:pPr>
            <w:r w:rsidRPr="00643EEE">
              <w:rPr>
                <w:sz w:val="20"/>
                <w:szCs w:val="20"/>
              </w:rPr>
              <w:t>xx</w:t>
            </w:r>
          </w:p>
        </w:tc>
        <w:tc>
          <w:tcPr>
            <w:tcW w:w="1431" w:type="pct"/>
            <w:vAlign w:val="bottom"/>
          </w:tcPr>
          <w:p w14:paraId="78178829" w14:textId="77777777" w:rsidR="00B478A5" w:rsidRPr="00643EEE" w:rsidRDefault="00B478A5" w:rsidP="00643EEE">
            <w:pPr>
              <w:pStyle w:val="Texteprincipal"/>
              <w:spacing w:before="0" w:after="0"/>
              <w:jc w:val="right"/>
              <w:rPr>
                <w:sz w:val="20"/>
                <w:szCs w:val="20"/>
              </w:rPr>
            </w:pPr>
            <w:r w:rsidRPr="00643EEE">
              <w:rPr>
                <w:sz w:val="20"/>
                <w:szCs w:val="20"/>
              </w:rPr>
              <w:t>-</w:t>
            </w:r>
          </w:p>
        </w:tc>
        <w:tc>
          <w:tcPr>
            <w:tcW w:w="1069" w:type="pct"/>
          </w:tcPr>
          <w:p w14:paraId="39CF854E" w14:textId="77777777" w:rsidR="00B478A5" w:rsidRPr="00643EEE" w:rsidRDefault="00B478A5" w:rsidP="00643EEE">
            <w:pPr>
              <w:pStyle w:val="Texteprincipal"/>
              <w:spacing w:before="0" w:after="0"/>
              <w:jc w:val="right"/>
              <w:rPr>
                <w:sz w:val="20"/>
                <w:szCs w:val="20"/>
              </w:rPr>
            </w:pPr>
            <w:r w:rsidRPr="00643EEE">
              <w:rPr>
                <w:sz w:val="20"/>
                <w:szCs w:val="20"/>
              </w:rPr>
              <w:t>xx</w:t>
            </w:r>
          </w:p>
        </w:tc>
      </w:tr>
      <w:tr w:rsidR="00B478A5" w:rsidRPr="00643EEE" w14:paraId="63F7BC6B" w14:textId="77777777" w:rsidTr="005117F9">
        <w:trPr>
          <w:trHeight w:val="20"/>
        </w:trPr>
        <w:tc>
          <w:tcPr>
            <w:tcW w:w="1250" w:type="pct"/>
          </w:tcPr>
          <w:p w14:paraId="6B04A5BE" w14:textId="77777777" w:rsidR="00B478A5" w:rsidRPr="00643EEE" w:rsidRDefault="00B478A5" w:rsidP="00643EEE">
            <w:pPr>
              <w:pStyle w:val="Texteprincipal"/>
              <w:spacing w:before="0" w:after="0"/>
              <w:rPr>
                <w:sz w:val="20"/>
                <w:szCs w:val="20"/>
              </w:rPr>
            </w:pPr>
            <w:r w:rsidRPr="00643EEE">
              <w:rPr>
                <w:sz w:val="20"/>
                <w:szCs w:val="20"/>
              </w:rPr>
              <w:t>Placements de portefeuille</w:t>
            </w:r>
          </w:p>
        </w:tc>
        <w:tc>
          <w:tcPr>
            <w:tcW w:w="1250" w:type="pct"/>
            <w:vAlign w:val="bottom"/>
          </w:tcPr>
          <w:p w14:paraId="2C5759E5" w14:textId="77777777" w:rsidR="00B478A5" w:rsidRPr="00643EEE" w:rsidRDefault="00B478A5" w:rsidP="00643EEE">
            <w:pPr>
              <w:pStyle w:val="Texteprincipal"/>
              <w:spacing w:before="0" w:after="0"/>
              <w:jc w:val="right"/>
              <w:rPr>
                <w:sz w:val="20"/>
                <w:szCs w:val="20"/>
              </w:rPr>
            </w:pPr>
            <w:r w:rsidRPr="00643EEE">
              <w:rPr>
                <w:sz w:val="20"/>
                <w:szCs w:val="20"/>
              </w:rPr>
              <w:t>xx</w:t>
            </w:r>
          </w:p>
        </w:tc>
        <w:tc>
          <w:tcPr>
            <w:tcW w:w="1431" w:type="pct"/>
            <w:vAlign w:val="bottom"/>
          </w:tcPr>
          <w:p w14:paraId="2E206103" w14:textId="77777777" w:rsidR="00B478A5" w:rsidRPr="00643EEE" w:rsidRDefault="00B478A5" w:rsidP="00643EEE">
            <w:pPr>
              <w:pStyle w:val="Texteprincipal"/>
              <w:spacing w:before="0" w:after="0"/>
              <w:jc w:val="right"/>
              <w:rPr>
                <w:sz w:val="20"/>
                <w:szCs w:val="20"/>
              </w:rPr>
            </w:pPr>
            <w:r w:rsidRPr="00643EEE">
              <w:rPr>
                <w:sz w:val="20"/>
                <w:szCs w:val="20"/>
              </w:rPr>
              <w:t>-</w:t>
            </w:r>
          </w:p>
        </w:tc>
        <w:tc>
          <w:tcPr>
            <w:tcW w:w="1069" w:type="pct"/>
            <w:vAlign w:val="bottom"/>
          </w:tcPr>
          <w:p w14:paraId="2B367A1F" w14:textId="77777777" w:rsidR="00B478A5" w:rsidRPr="00643EEE" w:rsidRDefault="00B478A5" w:rsidP="00643EEE">
            <w:pPr>
              <w:pStyle w:val="Texteprincipal"/>
              <w:spacing w:before="0" w:after="0"/>
              <w:jc w:val="right"/>
              <w:rPr>
                <w:sz w:val="20"/>
                <w:szCs w:val="20"/>
              </w:rPr>
            </w:pPr>
            <w:r w:rsidRPr="00643EEE">
              <w:rPr>
                <w:sz w:val="20"/>
                <w:szCs w:val="20"/>
              </w:rPr>
              <w:t>xx</w:t>
            </w:r>
          </w:p>
        </w:tc>
      </w:tr>
      <w:tr w:rsidR="00B478A5" w:rsidRPr="00643EEE" w14:paraId="12C37FE7" w14:textId="77777777" w:rsidTr="005117F9">
        <w:trPr>
          <w:trHeight w:val="20"/>
        </w:trPr>
        <w:tc>
          <w:tcPr>
            <w:tcW w:w="1250" w:type="pct"/>
          </w:tcPr>
          <w:p w14:paraId="320447D0" w14:textId="77777777" w:rsidR="00B478A5" w:rsidRPr="00643EEE" w:rsidRDefault="00B478A5" w:rsidP="00643EEE">
            <w:pPr>
              <w:pStyle w:val="Texteprincipal"/>
              <w:spacing w:before="0" w:after="0"/>
              <w:rPr>
                <w:sz w:val="20"/>
                <w:szCs w:val="20"/>
              </w:rPr>
            </w:pPr>
          </w:p>
        </w:tc>
        <w:tc>
          <w:tcPr>
            <w:tcW w:w="1250" w:type="pct"/>
          </w:tcPr>
          <w:p w14:paraId="6943C276" w14:textId="77777777" w:rsidR="00B478A5" w:rsidRPr="00643EEE" w:rsidRDefault="00B478A5" w:rsidP="00643EEE">
            <w:pPr>
              <w:pStyle w:val="Texteprincipal"/>
              <w:spacing w:before="0" w:after="0"/>
              <w:jc w:val="right"/>
              <w:rPr>
                <w:sz w:val="20"/>
                <w:szCs w:val="20"/>
              </w:rPr>
            </w:pPr>
          </w:p>
        </w:tc>
        <w:tc>
          <w:tcPr>
            <w:tcW w:w="1431" w:type="pct"/>
          </w:tcPr>
          <w:p w14:paraId="67882924" w14:textId="77777777" w:rsidR="00B478A5" w:rsidRPr="00643EEE" w:rsidRDefault="00B478A5" w:rsidP="00643EEE">
            <w:pPr>
              <w:pStyle w:val="Texteprincipal"/>
              <w:spacing w:before="0" w:after="0"/>
              <w:jc w:val="right"/>
              <w:rPr>
                <w:sz w:val="20"/>
                <w:szCs w:val="20"/>
              </w:rPr>
            </w:pPr>
          </w:p>
        </w:tc>
        <w:tc>
          <w:tcPr>
            <w:tcW w:w="1069" w:type="pct"/>
          </w:tcPr>
          <w:p w14:paraId="6D9F4914" w14:textId="77777777" w:rsidR="00B478A5" w:rsidRPr="00643EEE" w:rsidRDefault="00B478A5" w:rsidP="00643EEE">
            <w:pPr>
              <w:pStyle w:val="Texteprincipal"/>
              <w:spacing w:before="0" w:after="0"/>
              <w:jc w:val="right"/>
              <w:rPr>
                <w:sz w:val="20"/>
                <w:szCs w:val="20"/>
              </w:rPr>
            </w:pPr>
          </w:p>
        </w:tc>
      </w:tr>
      <w:tr w:rsidR="00B478A5" w:rsidRPr="00643EEE" w14:paraId="7CA64952" w14:textId="77777777" w:rsidTr="005117F9">
        <w:trPr>
          <w:trHeight w:val="20"/>
        </w:trPr>
        <w:tc>
          <w:tcPr>
            <w:tcW w:w="1250" w:type="pct"/>
          </w:tcPr>
          <w:p w14:paraId="710E694D" w14:textId="77777777" w:rsidR="00B478A5" w:rsidRPr="00643EEE" w:rsidRDefault="00B478A5" w:rsidP="00643EEE">
            <w:pPr>
              <w:pStyle w:val="Texteprincipal"/>
              <w:spacing w:before="0" w:after="0"/>
              <w:rPr>
                <w:sz w:val="20"/>
                <w:szCs w:val="20"/>
              </w:rPr>
            </w:pPr>
            <w:r w:rsidRPr="00643EEE">
              <w:rPr>
                <w:sz w:val="20"/>
                <w:szCs w:val="20"/>
              </w:rPr>
              <w:t>Passifs financiers</w:t>
            </w:r>
          </w:p>
        </w:tc>
        <w:tc>
          <w:tcPr>
            <w:tcW w:w="1250" w:type="pct"/>
          </w:tcPr>
          <w:p w14:paraId="50EAAB81" w14:textId="77777777" w:rsidR="00B478A5" w:rsidRPr="00643EEE" w:rsidRDefault="00B478A5" w:rsidP="00643EEE">
            <w:pPr>
              <w:pStyle w:val="Texteprincipal"/>
              <w:spacing w:before="0" w:after="0"/>
              <w:jc w:val="right"/>
              <w:rPr>
                <w:sz w:val="20"/>
                <w:szCs w:val="20"/>
              </w:rPr>
            </w:pPr>
          </w:p>
        </w:tc>
        <w:tc>
          <w:tcPr>
            <w:tcW w:w="1431" w:type="pct"/>
          </w:tcPr>
          <w:p w14:paraId="55C24981" w14:textId="77777777" w:rsidR="00B478A5" w:rsidRPr="00643EEE" w:rsidRDefault="00B478A5" w:rsidP="00643EEE">
            <w:pPr>
              <w:pStyle w:val="Texteprincipal"/>
              <w:spacing w:before="0" w:after="0"/>
              <w:jc w:val="right"/>
              <w:rPr>
                <w:sz w:val="20"/>
                <w:szCs w:val="20"/>
              </w:rPr>
            </w:pPr>
          </w:p>
        </w:tc>
        <w:tc>
          <w:tcPr>
            <w:tcW w:w="1069" w:type="pct"/>
          </w:tcPr>
          <w:p w14:paraId="198ACB4F" w14:textId="77777777" w:rsidR="00B478A5" w:rsidRPr="00643EEE" w:rsidRDefault="00B478A5" w:rsidP="00643EEE">
            <w:pPr>
              <w:pStyle w:val="Texteprincipal"/>
              <w:spacing w:before="0" w:after="0"/>
              <w:jc w:val="right"/>
              <w:rPr>
                <w:sz w:val="20"/>
                <w:szCs w:val="20"/>
              </w:rPr>
            </w:pPr>
          </w:p>
        </w:tc>
      </w:tr>
      <w:tr w:rsidR="00B478A5" w:rsidRPr="00643EEE" w14:paraId="1B6D457B" w14:textId="77777777" w:rsidTr="005117F9">
        <w:trPr>
          <w:trHeight w:val="20"/>
        </w:trPr>
        <w:tc>
          <w:tcPr>
            <w:tcW w:w="1250" w:type="pct"/>
          </w:tcPr>
          <w:p w14:paraId="1257D4C4" w14:textId="77777777" w:rsidR="00B478A5" w:rsidRPr="00643EEE" w:rsidRDefault="00B478A5" w:rsidP="00643EEE">
            <w:pPr>
              <w:pStyle w:val="Texteprincipal"/>
              <w:spacing w:before="0" w:after="0"/>
              <w:rPr>
                <w:sz w:val="20"/>
                <w:szCs w:val="20"/>
              </w:rPr>
            </w:pPr>
            <w:r w:rsidRPr="00643EEE">
              <w:rPr>
                <w:sz w:val="20"/>
                <w:szCs w:val="20"/>
              </w:rPr>
              <w:t>Emprunts</w:t>
            </w:r>
          </w:p>
        </w:tc>
        <w:tc>
          <w:tcPr>
            <w:tcW w:w="1250" w:type="pct"/>
          </w:tcPr>
          <w:p w14:paraId="4E8A0DFD" w14:textId="77777777" w:rsidR="00B478A5" w:rsidRPr="00643EEE" w:rsidRDefault="00B478A5" w:rsidP="00643EEE">
            <w:pPr>
              <w:pStyle w:val="Texteprincipal"/>
              <w:spacing w:before="0" w:after="0"/>
              <w:jc w:val="right"/>
              <w:rPr>
                <w:sz w:val="20"/>
                <w:szCs w:val="20"/>
              </w:rPr>
            </w:pPr>
            <w:r w:rsidRPr="00643EEE">
              <w:rPr>
                <w:sz w:val="20"/>
                <w:szCs w:val="20"/>
              </w:rPr>
              <w:t>–</w:t>
            </w:r>
          </w:p>
        </w:tc>
        <w:tc>
          <w:tcPr>
            <w:tcW w:w="1431" w:type="pct"/>
          </w:tcPr>
          <w:p w14:paraId="214771E3" w14:textId="77777777" w:rsidR="00B478A5" w:rsidRPr="00643EEE" w:rsidRDefault="00B478A5" w:rsidP="00643EEE">
            <w:pPr>
              <w:pStyle w:val="Texteprincipal"/>
              <w:spacing w:before="0" w:after="0"/>
              <w:jc w:val="right"/>
              <w:rPr>
                <w:sz w:val="20"/>
                <w:szCs w:val="20"/>
              </w:rPr>
            </w:pPr>
            <w:r w:rsidRPr="00643EEE">
              <w:rPr>
                <w:sz w:val="20"/>
                <w:szCs w:val="20"/>
              </w:rPr>
              <w:t>xx</w:t>
            </w:r>
          </w:p>
        </w:tc>
        <w:tc>
          <w:tcPr>
            <w:tcW w:w="1069" w:type="pct"/>
          </w:tcPr>
          <w:p w14:paraId="4CE8D62C" w14:textId="77777777" w:rsidR="00B478A5" w:rsidRPr="00643EEE" w:rsidRDefault="00B478A5" w:rsidP="00643EEE">
            <w:pPr>
              <w:pStyle w:val="Texteprincipal"/>
              <w:spacing w:before="0" w:after="0"/>
              <w:jc w:val="right"/>
              <w:rPr>
                <w:sz w:val="20"/>
                <w:szCs w:val="20"/>
              </w:rPr>
            </w:pPr>
            <w:r w:rsidRPr="00643EEE">
              <w:rPr>
                <w:sz w:val="20"/>
                <w:szCs w:val="20"/>
              </w:rPr>
              <w:t>xx</w:t>
            </w:r>
          </w:p>
        </w:tc>
      </w:tr>
      <w:tr w:rsidR="00B478A5" w:rsidRPr="00643EEE" w14:paraId="406BB74E" w14:textId="77777777" w:rsidTr="005117F9">
        <w:trPr>
          <w:trHeight w:val="20"/>
        </w:trPr>
        <w:tc>
          <w:tcPr>
            <w:tcW w:w="1250" w:type="pct"/>
            <w:tcBorders>
              <w:bottom w:val="single" w:sz="12" w:space="0" w:color="auto"/>
            </w:tcBorders>
          </w:tcPr>
          <w:p w14:paraId="4A0F3DF3" w14:textId="77777777" w:rsidR="00B478A5" w:rsidRPr="00643EEE" w:rsidRDefault="00B478A5" w:rsidP="00643EEE">
            <w:pPr>
              <w:pStyle w:val="Texteprincipal"/>
              <w:spacing w:before="0" w:after="0"/>
              <w:rPr>
                <w:sz w:val="20"/>
                <w:szCs w:val="20"/>
              </w:rPr>
            </w:pPr>
            <w:r w:rsidRPr="00643EEE">
              <w:rPr>
                <w:sz w:val="20"/>
                <w:szCs w:val="20"/>
              </w:rPr>
              <w:t>Dettes</w:t>
            </w:r>
          </w:p>
        </w:tc>
        <w:tc>
          <w:tcPr>
            <w:tcW w:w="1250" w:type="pct"/>
            <w:tcBorders>
              <w:bottom w:val="single" w:sz="12" w:space="0" w:color="auto"/>
            </w:tcBorders>
          </w:tcPr>
          <w:p w14:paraId="45C86AF2" w14:textId="77777777" w:rsidR="00B478A5" w:rsidRPr="00643EEE" w:rsidRDefault="00B478A5" w:rsidP="00643EEE">
            <w:pPr>
              <w:pStyle w:val="Texteprincipal"/>
              <w:spacing w:before="0" w:after="0"/>
              <w:jc w:val="right"/>
              <w:rPr>
                <w:sz w:val="20"/>
                <w:szCs w:val="20"/>
              </w:rPr>
            </w:pPr>
            <w:r w:rsidRPr="00643EEE">
              <w:rPr>
                <w:sz w:val="20"/>
                <w:szCs w:val="20"/>
              </w:rPr>
              <w:t>xx</w:t>
            </w:r>
          </w:p>
        </w:tc>
        <w:tc>
          <w:tcPr>
            <w:tcW w:w="1431" w:type="pct"/>
            <w:tcBorders>
              <w:bottom w:val="single" w:sz="12" w:space="0" w:color="auto"/>
            </w:tcBorders>
          </w:tcPr>
          <w:p w14:paraId="34BB8D52" w14:textId="77777777" w:rsidR="00B478A5" w:rsidRPr="00643EEE" w:rsidRDefault="00B478A5" w:rsidP="00643EEE">
            <w:pPr>
              <w:pStyle w:val="Texteprincipal"/>
              <w:spacing w:before="0" w:after="0"/>
              <w:jc w:val="right"/>
              <w:rPr>
                <w:sz w:val="20"/>
                <w:szCs w:val="20"/>
              </w:rPr>
            </w:pPr>
            <w:r w:rsidRPr="00643EEE">
              <w:rPr>
                <w:sz w:val="20"/>
                <w:szCs w:val="20"/>
              </w:rPr>
              <w:t>-</w:t>
            </w:r>
          </w:p>
        </w:tc>
        <w:tc>
          <w:tcPr>
            <w:tcW w:w="1069" w:type="pct"/>
            <w:tcBorders>
              <w:bottom w:val="single" w:sz="12" w:space="0" w:color="auto"/>
            </w:tcBorders>
          </w:tcPr>
          <w:p w14:paraId="1A29609A" w14:textId="77777777" w:rsidR="00B478A5" w:rsidRPr="00643EEE" w:rsidRDefault="00B478A5" w:rsidP="00643EEE">
            <w:pPr>
              <w:pStyle w:val="Texteprincipal"/>
              <w:spacing w:before="0" w:after="0"/>
              <w:jc w:val="right"/>
              <w:rPr>
                <w:sz w:val="20"/>
                <w:szCs w:val="20"/>
              </w:rPr>
            </w:pPr>
            <w:r w:rsidRPr="00643EEE">
              <w:rPr>
                <w:sz w:val="20"/>
                <w:szCs w:val="20"/>
              </w:rPr>
              <w:t>xx</w:t>
            </w:r>
          </w:p>
        </w:tc>
      </w:tr>
    </w:tbl>
    <w:p w14:paraId="7F64107C" w14:textId="77777777" w:rsidR="00B478A5" w:rsidRPr="00643EEE" w:rsidRDefault="00B478A5" w:rsidP="00415B40">
      <w:pPr>
        <w:pStyle w:val="Texteprincipal"/>
        <w:rPr>
          <w:sz w:val="20"/>
          <w:szCs w:val="20"/>
        </w:rPr>
      </w:pPr>
    </w:p>
    <w:tbl>
      <w:tblPr>
        <w:tblW w:w="5000" w:type="pct"/>
        <w:tblLook w:val="04A0" w:firstRow="1" w:lastRow="0" w:firstColumn="1" w:lastColumn="0" w:noHBand="0" w:noVBand="1"/>
      </w:tblPr>
      <w:tblGrid>
        <w:gridCol w:w="2160"/>
        <w:gridCol w:w="2160"/>
        <w:gridCol w:w="2473"/>
        <w:gridCol w:w="1847"/>
      </w:tblGrid>
      <w:tr w:rsidR="00B478A5" w:rsidRPr="00643EEE" w14:paraId="7C4A4BC4" w14:textId="77777777" w:rsidTr="005117F9">
        <w:trPr>
          <w:trHeight w:hRule="exact" w:val="340"/>
        </w:trPr>
        <w:tc>
          <w:tcPr>
            <w:tcW w:w="5000" w:type="pct"/>
            <w:gridSpan w:val="4"/>
            <w:tcBorders>
              <w:top w:val="single" w:sz="4" w:space="0" w:color="auto"/>
            </w:tcBorders>
            <w:shd w:val="clear" w:color="auto" w:fill="D9D9D9" w:themeFill="background1" w:themeFillShade="D9"/>
          </w:tcPr>
          <w:p w14:paraId="3CD96D7E" w14:textId="06B9661B" w:rsidR="00B478A5" w:rsidRPr="00643EEE" w:rsidRDefault="00B478A5" w:rsidP="00643EEE">
            <w:pPr>
              <w:pStyle w:val="Texteprincipal"/>
              <w:spacing w:before="0" w:after="0"/>
              <w:rPr>
                <w:sz w:val="20"/>
                <w:szCs w:val="20"/>
              </w:rPr>
            </w:pPr>
            <w:r w:rsidRPr="00643EEE">
              <w:rPr>
                <w:sz w:val="20"/>
                <w:szCs w:val="20"/>
              </w:rPr>
              <w:t>31</w:t>
            </w:r>
            <w:r w:rsidR="00900866">
              <w:rPr>
                <w:sz w:val="20"/>
                <w:szCs w:val="20"/>
              </w:rPr>
              <w:t> </w:t>
            </w:r>
            <w:r w:rsidR="00E11722" w:rsidRPr="00643EEE">
              <w:rPr>
                <w:sz w:val="20"/>
                <w:szCs w:val="20"/>
              </w:rPr>
              <w:t>décembre</w:t>
            </w:r>
            <w:r w:rsidRPr="00643EEE">
              <w:rPr>
                <w:sz w:val="20"/>
                <w:szCs w:val="20"/>
              </w:rPr>
              <w:t> 20X1</w:t>
            </w:r>
          </w:p>
        </w:tc>
      </w:tr>
      <w:tr w:rsidR="00B478A5" w:rsidRPr="00643EEE" w14:paraId="04E2BF65" w14:textId="77777777" w:rsidTr="005117F9">
        <w:trPr>
          <w:trHeight w:hRule="exact" w:val="340"/>
        </w:trPr>
        <w:tc>
          <w:tcPr>
            <w:tcW w:w="1250" w:type="pct"/>
            <w:shd w:val="clear" w:color="auto" w:fill="D9D9D9" w:themeFill="background1" w:themeFillShade="D9"/>
          </w:tcPr>
          <w:p w14:paraId="4949ABF8" w14:textId="77777777" w:rsidR="00B478A5" w:rsidRPr="00643EEE" w:rsidRDefault="00B478A5" w:rsidP="00643EEE">
            <w:pPr>
              <w:pStyle w:val="Texteprincipal"/>
              <w:spacing w:before="0" w:after="0"/>
              <w:rPr>
                <w:sz w:val="20"/>
                <w:szCs w:val="20"/>
              </w:rPr>
            </w:pPr>
          </w:p>
        </w:tc>
        <w:tc>
          <w:tcPr>
            <w:tcW w:w="1250" w:type="pct"/>
            <w:shd w:val="clear" w:color="auto" w:fill="D9D9D9" w:themeFill="background1" w:themeFillShade="D9"/>
          </w:tcPr>
          <w:p w14:paraId="2A57160C" w14:textId="77777777" w:rsidR="00B478A5" w:rsidRPr="00643EEE" w:rsidRDefault="00B478A5" w:rsidP="00643EEE">
            <w:pPr>
              <w:pStyle w:val="Texteprincipal"/>
              <w:spacing w:before="0" w:after="0"/>
              <w:rPr>
                <w:sz w:val="20"/>
                <w:szCs w:val="20"/>
              </w:rPr>
            </w:pPr>
            <w:r w:rsidRPr="00643EEE">
              <w:rPr>
                <w:sz w:val="20"/>
                <w:szCs w:val="20"/>
              </w:rPr>
              <w:t>Taux d’intérêt fixe</w:t>
            </w:r>
          </w:p>
        </w:tc>
        <w:tc>
          <w:tcPr>
            <w:tcW w:w="1431" w:type="pct"/>
            <w:shd w:val="clear" w:color="auto" w:fill="D9D9D9" w:themeFill="background1" w:themeFillShade="D9"/>
          </w:tcPr>
          <w:p w14:paraId="69F592BD" w14:textId="77777777" w:rsidR="00B478A5" w:rsidRPr="00643EEE" w:rsidRDefault="00B478A5" w:rsidP="00643EEE">
            <w:pPr>
              <w:pStyle w:val="Texteprincipal"/>
              <w:spacing w:before="0" w:after="0"/>
              <w:rPr>
                <w:sz w:val="20"/>
                <w:szCs w:val="20"/>
              </w:rPr>
            </w:pPr>
            <w:r w:rsidRPr="00643EEE">
              <w:rPr>
                <w:sz w:val="20"/>
                <w:szCs w:val="20"/>
              </w:rPr>
              <w:t>Taux d’intérêt variable</w:t>
            </w:r>
          </w:p>
        </w:tc>
        <w:tc>
          <w:tcPr>
            <w:tcW w:w="1070" w:type="pct"/>
            <w:shd w:val="clear" w:color="auto" w:fill="D9D9D9" w:themeFill="background1" w:themeFillShade="D9"/>
          </w:tcPr>
          <w:p w14:paraId="0D0B4856" w14:textId="77777777" w:rsidR="00B478A5" w:rsidRPr="00643EEE" w:rsidRDefault="00B478A5" w:rsidP="00643EEE">
            <w:pPr>
              <w:pStyle w:val="Texteprincipal"/>
              <w:spacing w:before="0" w:after="0"/>
              <w:rPr>
                <w:sz w:val="20"/>
                <w:szCs w:val="20"/>
              </w:rPr>
            </w:pPr>
            <w:r w:rsidRPr="00643EEE">
              <w:rPr>
                <w:sz w:val="20"/>
                <w:szCs w:val="20"/>
              </w:rPr>
              <w:t>Total</w:t>
            </w:r>
          </w:p>
        </w:tc>
      </w:tr>
      <w:tr w:rsidR="00B478A5" w:rsidRPr="00643EEE" w14:paraId="06D59D3E" w14:textId="77777777" w:rsidTr="00823984">
        <w:trPr>
          <w:trHeight w:hRule="exact" w:val="129"/>
        </w:trPr>
        <w:tc>
          <w:tcPr>
            <w:tcW w:w="1250" w:type="pct"/>
            <w:shd w:val="clear" w:color="auto" w:fill="D9D9D9" w:themeFill="background1" w:themeFillShade="D9"/>
          </w:tcPr>
          <w:p w14:paraId="09D5495B" w14:textId="77777777" w:rsidR="00B478A5" w:rsidRPr="00643EEE" w:rsidRDefault="00B478A5" w:rsidP="00643EEE">
            <w:pPr>
              <w:pStyle w:val="Texteprincipal"/>
              <w:spacing w:before="0" w:after="0"/>
              <w:rPr>
                <w:sz w:val="20"/>
                <w:szCs w:val="20"/>
              </w:rPr>
            </w:pPr>
          </w:p>
        </w:tc>
        <w:tc>
          <w:tcPr>
            <w:tcW w:w="2681" w:type="pct"/>
            <w:gridSpan w:val="2"/>
            <w:shd w:val="clear" w:color="auto" w:fill="D9D9D9" w:themeFill="background1" w:themeFillShade="D9"/>
          </w:tcPr>
          <w:p w14:paraId="566BDC5C" w14:textId="77777777" w:rsidR="00B478A5" w:rsidRPr="00643EEE" w:rsidRDefault="00B478A5" w:rsidP="00643EEE">
            <w:pPr>
              <w:pStyle w:val="Texteprincipal"/>
              <w:spacing w:before="0" w:after="0"/>
              <w:rPr>
                <w:sz w:val="20"/>
                <w:szCs w:val="20"/>
              </w:rPr>
            </w:pPr>
          </w:p>
        </w:tc>
        <w:tc>
          <w:tcPr>
            <w:tcW w:w="1070" w:type="pct"/>
            <w:shd w:val="clear" w:color="auto" w:fill="D9D9D9" w:themeFill="background1" w:themeFillShade="D9"/>
          </w:tcPr>
          <w:p w14:paraId="02F18706" w14:textId="77777777" w:rsidR="00B478A5" w:rsidRPr="00643EEE" w:rsidRDefault="00B478A5" w:rsidP="00643EEE">
            <w:pPr>
              <w:pStyle w:val="Texteprincipal"/>
              <w:spacing w:before="0" w:after="0"/>
              <w:rPr>
                <w:sz w:val="20"/>
                <w:szCs w:val="20"/>
              </w:rPr>
            </w:pPr>
          </w:p>
        </w:tc>
      </w:tr>
      <w:tr w:rsidR="00B478A5" w:rsidRPr="00643EEE" w14:paraId="23752151" w14:textId="77777777" w:rsidTr="005117F9">
        <w:tc>
          <w:tcPr>
            <w:tcW w:w="1250" w:type="pct"/>
            <w:tcBorders>
              <w:top w:val="single" w:sz="4" w:space="0" w:color="auto"/>
            </w:tcBorders>
          </w:tcPr>
          <w:p w14:paraId="6A6122CD" w14:textId="77777777" w:rsidR="00B478A5" w:rsidRDefault="00B478A5" w:rsidP="00643EEE">
            <w:pPr>
              <w:pStyle w:val="Texteprincipal"/>
              <w:spacing w:before="0" w:after="0"/>
              <w:rPr>
                <w:sz w:val="20"/>
                <w:szCs w:val="20"/>
              </w:rPr>
            </w:pPr>
            <w:r w:rsidRPr="00643EEE">
              <w:rPr>
                <w:sz w:val="20"/>
                <w:szCs w:val="20"/>
              </w:rPr>
              <w:t>Actifs financiers</w:t>
            </w:r>
          </w:p>
          <w:p w14:paraId="4BFDFF82" w14:textId="2B810018" w:rsidR="00823984" w:rsidRPr="00643EEE" w:rsidRDefault="00823984" w:rsidP="00D06C63">
            <w:pPr>
              <w:pStyle w:val="Texteprincipal"/>
              <w:spacing w:before="0" w:after="0"/>
              <w:jc w:val="left"/>
              <w:rPr>
                <w:sz w:val="20"/>
                <w:szCs w:val="20"/>
              </w:rPr>
            </w:pPr>
            <w:r w:rsidRPr="00643EEE">
              <w:rPr>
                <w:sz w:val="20"/>
                <w:szCs w:val="20"/>
              </w:rPr>
              <w:t>Trésorerie et équivalents de trésorerie</w:t>
            </w:r>
          </w:p>
        </w:tc>
        <w:tc>
          <w:tcPr>
            <w:tcW w:w="1250" w:type="pct"/>
            <w:tcBorders>
              <w:top w:val="single" w:sz="4" w:space="0" w:color="auto"/>
            </w:tcBorders>
          </w:tcPr>
          <w:p w14:paraId="6A400099" w14:textId="77777777" w:rsidR="00B478A5" w:rsidRPr="00643EEE" w:rsidRDefault="00B478A5" w:rsidP="00643EEE">
            <w:pPr>
              <w:pStyle w:val="Texteprincipal"/>
              <w:spacing w:before="0" w:after="0"/>
              <w:jc w:val="right"/>
              <w:rPr>
                <w:sz w:val="20"/>
                <w:szCs w:val="20"/>
              </w:rPr>
            </w:pPr>
          </w:p>
        </w:tc>
        <w:tc>
          <w:tcPr>
            <w:tcW w:w="1431" w:type="pct"/>
            <w:tcBorders>
              <w:top w:val="single" w:sz="4" w:space="0" w:color="auto"/>
            </w:tcBorders>
          </w:tcPr>
          <w:p w14:paraId="3463CB18" w14:textId="77777777" w:rsidR="00B478A5" w:rsidRPr="00643EEE" w:rsidRDefault="00B478A5" w:rsidP="00643EEE">
            <w:pPr>
              <w:pStyle w:val="Texteprincipal"/>
              <w:spacing w:before="0" w:after="0"/>
              <w:jc w:val="right"/>
              <w:rPr>
                <w:sz w:val="20"/>
                <w:szCs w:val="20"/>
              </w:rPr>
            </w:pPr>
          </w:p>
        </w:tc>
        <w:tc>
          <w:tcPr>
            <w:tcW w:w="1070" w:type="pct"/>
            <w:tcBorders>
              <w:top w:val="single" w:sz="4" w:space="0" w:color="auto"/>
            </w:tcBorders>
          </w:tcPr>
          <w:p w14:paraId="73732591" w14:textId="77777777" w:rsidR="00B478A5" w:rsidRPr="00643EEE" w:rsidRDefault="00B478A5" w:rsidP="00643EEE">
            <w:pPr>
              <w:pStyle w:val="Texteprincipal"/>
              <w:spacing w:before="0" w:after="0"/>
              <w:jc w:val="right"/>
              <w:rPr>
                <w:sz w:val="20"/>
                <w:szCs w:val="20"/>
              </w:rPr>
            </w:pPr>
          </w:p>
        </w:tc>
      </w:tr>
      <w:tr w:rsidR="00B478A5" w:rsidRPr="00643EEE" w14:paraId="5DEBA53C" w14:textId="77777777" w:rsidTr="005117F9">
        <w:tc>
          <w:tcPr>
            <w:tcW w:w="1250" w:type="pct"/>
          </w:tcPr>
          <w:p w14:paraId="5F8BDACB" w14:textId="77777777" w:rsidR="00B478A5" w:rsidRPr="00643EEE" w:rsidRDefault="00B478A5" w:rsidP="00643EEE">
            <w:pPr>
              <w:pStyle w:val="Texteprincipal"/>
              <w:spacing w:before="0" w:after="0"/>
              <w:rPr>
                <w:sz w:val="20"/>
                <w:szCs w:val="20"/>
              </w:rPr>
            </w:pPr>
            <w:r w:rsidRPr="00643EEE">
              <w:rPr>
                <w:sz w:val="20"/>
                <w:szCs w:val="20"/>
              </w:rPr>
              <w:t>Prêts</w:t>
            </w:r>
          </w:p>
        </w:tc>
        <w:tc>
          <w:tcPr>
            <w:tcW w:w="1250" w:type="pct"/>
          </w:tcPr>
          <w:p w14:paraId="13558AB2" w14:textId="77777777" w:rsidR="00B478A5" w:rsidRPr="00643EEE" w:rsidRDefault="00B478A5" w:rsidP="00643EEE">
            <w:pPr>
              <w:pStyle w:val="Texteprincipal"/>
              <w:spacing w:before="0" w:after="0"/>
              <w:jc w:val="right"/>
              <w:rPr>
                <w:sz w:val="20"/>
                <w:szCs w:val="20"/>
              </w:rPr>
            </w:pPr>
            <w:r w:rsidRPr="00643EEE">
              <w:rPr>
                <w:sz w:val="20"/>
                <w:szCs w:val="20"/>
              </w:rPr>
              <w:t>xx</w:t>
            </w:r>
          </w:p>
        </w:tc>
        <w:tc>
          <w:tcPr>
            <w:tcW w:w="1431" w:type="pct"/>
          </w:tcPr>
          <w:p w14:paraId="53B6862F" w14:textId="77777777" w:rsidR="00B478A5" w:rsidRPr="00643EEE" w:rsidRDefault="00B478A5" w:rsidP="00643EEE">
            <w:pPr>
              <w:pStyle w:val="Texteprincipal"/>
              <w:spacing w:before="0" w:after="0"/>
              <w:jc w:val="right"/>
              <w:rPr>
                <w:sz w:val="20"/>
                <w:szCs w:val="20"/>
              </w:rPr>
            </w:pPr>
            <w:r w:rsidRPr="00643EEE">
              <w:rPr>
                <w:sz w:val="20"/>
                <w:szCs w:val="20"/>
              </w:rPr>
              <w:t>-</w:t>
            </w:r>
          </w:p>
        </w:tc>
        <w:tc>
          <w:tcPr>
            <w:tcW w:w="1070" w:type="pct"/>
            <w:vAlign w:val="bottom"/>
          </w:tcPr>
          <w:p w14:paraId="1C46A9C5" w14:textId="77777777" w:rsidR="00B478A5" w:rsidRPr="00643EEE" w:rsidRDefault="00B478A5" w:rsidP="00643EEE">
            <w:pPr>
              <w:pStyle w:val="Texteprincipal"/>
              <w:spacing w:before="0" w:after="0"/>
              <w:jc w:val="right"/>
              <w:rPr>
                <w:sz w:val="20"/>
                <w:szCs w:val="20"/>
              </w:rPr>
            </w:pPr>
            <w:r w:rsidRPr="00643EEE">
              <w:rPr>
                <w:sz w:val="20"/>
                <w:szCs w:val="20"/>
              </w:rPr>
              <w:t>xx</w:t>
            </w:r>
          </w:p>
        </w:tc>
      </w:tr>
      <w:tr w:rsidR="00B478A5" w:rsidRPr="00643EEE" w14:paraId="35608736" w14:textId="77777777" w:rsidTr="005117F9">
        <w:tc>
          <w:tcPr>
            <w:tcW w:w="1250" w:type="pct"/>
          </w:tcPr>
          <w:p w14:paraId="342ED141" w14:textId="77777777" w:rsidR="00B478A5" w:rsidRPr="00643EEE" w:rsidRDefault="00B478A5" w:rsidP="00643EEE">
            <w:pPr>
              <w:pStyle w:val="Texteprincipal"/>
              <w:spacing w:before="0" w:after="0"/>
              <w:rPr>
                <w:sz w:val="20"/>
                <w:szCs w:val="20"/>
              </w:rPr>
            </w:pPr>
            <w:r w:rsidRPr="00643EEE">
              <w:rPr>
                <w:sz w:val="20"/>
                <w:szCs w:val="20"/>
              </w:rPr>
              <w:t>Placements de portefeuille</w:t>
            </w:r>
          </w:p>
        </w:tc>
        <w:tc>
          <w:tcPr>
            <w:tcW w:w="1250" w:type="pct"/>
            <w:vAlign w:val="bottom"/>
          </w:tcPr>
          <w:p w14:paraId="031E7805" w14:textId="77777777" w:rsidR="00B478A5" w:rsidRPr="00643EEE" w:rsidRDefault="00B478A5" w:rsidP="00643EEE">
            <w:pPr>
              <w:pStyle w:val="Texteprincipal"/>
              <w:spacing w:before="0" w:after="0"/>
              <w:jc w:val="right"/>
              <w:rPr>
                <w:sz w:val="20"/>
                <w:szCs w:val="20"/>
              </w:rPr>
            </w:pPr>
            <w:r w:rsidRPr="00643EEE">
              <w:rPr>
                <w:sz w:val="20"/>
                <w:szCs w:val="20"/>
              </w:rPr>
              <w:t>xx</w:t>
            </w:r>
          </w:p>
        </w:tc>
        <w:tc>
          <w:tcPr>
            <w:tcW w:w="1431" w:type="pct"/>
            <w:vAlign w:val="bottom"/>
          </w:tcPr>
          <w:p w14:paraId="42EEFD48" w14:textId="77777777" w:rsidR="00B478A5" w:rsidRPr="00643EEE" w:rsidRDefault="00B478A5" w:rsidP="00643EEE">
            <w:pPr>
              <w:pStyle w:val="Texteprincipal"/>
              <w:spacing w:before="0" w:after="0"/>
              <w:jc w:val="right"/>
              <w:rPr>
                <w:sz w:val="20"/>
                <w:szCs w:val="20"/>
              </w:rPr>
            </w:pPr>
            <w:r w:rsidRPr="00643EEE">
              <w:rPr>
                <w:sz w:val="20"/>
                <w:szCs w:val="20"/>
              </w:rPr>
              <w:t>-</w:t>
            </w:r>
          </w:p>
        </w:tc>
        <w:tc>
          <w:tcPr>
            <w:tcW w:w="1070" w:type="pct"/>
            <w:vAlign w:val="bottom"/>
          </w:tcPr>
          <w:p w14:paraId="6577861A" w14:textId="77777777" w:rsidR="00B478A5" w:rsidRPr="00643EEE" w:rsidRDefault="00B478A5" w:rsidP="00643EEE">
            <w:pPr>
              <w:pStyle w:val="Texteprincipal"/>
              <w:spacing w:before="0" w:after="0"/>
              <w:jc w:val="right"/>
              <w:rPr>
                <w:sz w:val="20"/>
                <w:szCs w:val="20"/>
              </w:rPr>
            </w:pPr>
            <w:r w:rsidRPr="00643EEE">
              <w:rPr>
                <w:sz w:val="20"/>
                <w:szCs w:val="20"/>
              </w:rPr>
              <w:t>xx</w:t>
            </w:r>
          </w:p>
        </w:tc>
      </w:tr>
      <w:tr w:rsidR="00B478A5" w:rsidRPr="00643EEE" w14:paraId="42BCEAF5" w14:textId="77777777" w:rsidTr="005117F9">
        <w:trPr>
          <w:trHeight w:val="288"/>
        </w:trPr>
        <w:tc>
          <w:tcPr>
            <w:tcW w:w="1250" w:type="pct"/>
          </w:tcPr>
          <w:p w14:paraId="532FEE72" w14:textId="77777777" w:rsidR="00B478A5" w:rsidRPr="00643EEE" w:rsidRDefault="00B478A5" w:rsidP="00643EEE">
            <w:pPr>
              <w:pStyle w:val="Texteprincipal"/>
              <w:spacing w:before="0" w:after="0"/>
              <w:rPr>
                <w:sz w:val="20"/>
                <w:szCs w:val="20"/>
              </w:rPr>
            </w:pPr>
          </w:p>
        </w:tc>
        <w:tc>
          <w:tcPr>
            <w:tcW w:w="1250" w:type="pct"/>
          </w:tcPr>
          <w:p w14:paraId="70DB5E5B" w14:textId="77777777" w:rsidR="00B478A5" w:rsidRPr="00643EEE" w:rsidRDefault="00B478A5" w:rsidP="00643EEE">
            <w:pPr>
              <w:pStyle w:val="Texteprincipal"/>
              <w:spacing w:before="0" w:after="0"/>
              <w:jc w:val="right"/>
              <w:rPr>
                <w:sz w:val="20"/>
                <w:szCs w:val="20"/>
              </w:rPr>
            </w:pPr>
          </w:p>
        </w:tc>
        <w:tc>
          <w:tcPr>
            <w:tcW w:w="1431" w:type="pct"/>
          </w:tcPr>
          <w:p w14:paraId="2ABFCC2F" w14:textId="77777777" w:rsidR="00B478A5" w:rsidRPr="00643EEE" w:rsidRDefault="00B478A5" w:rsidP="00643EEE">
            <w:pPr>
              <w:pStyle w:val="Texteprincipal"/>
              <w:spacing w:before="0" w:after="0"/>
              <w:jc w:val="right"/>
              <w:rPr>
                <w:sz w:val="20"/>
                <w:szCs w:val="20"/>
              </w:rPr>
            </w:pPr>
          </w:p>
        </w:tc>
        <w:tc>
          <w:tcPr>
            <w:tcW w:w="1070" w:type="pct"/>
          </w:tcPr>
          <w:p w14:paraId="1B08FC1F" w14:textId="77777777" w:rsidR="00B478A5" w:rsidRPr="00643EEE" w:rsidRDefault="00B478A5" w:rsidP="00643EEE">
            <w:pPr>
              <w:pStyle w:val="Texteprincipal"/>
              <w:spacing w:before="0" w:after="0"/>
              <w:jc w:val="right"/>
              <w:rPr>
                <w:sz w:val="20"/>
                <w:szCs w:val="20"/>
              </w:rPr>
            </w:pPr>
          </w:p>
        </w:tc>
      </w:tr>
      <w:tr w:rsidR="00B478A5" w:rsidRPr="00643EEE" w14:paraId="4CD43536" w14:textId="77777777" w:rsidTr="005117F9">
        <w:tc>
          <w:tcPr>
            <w:tcW w:w="1250" w:type="pct"/>
          </w:tcPr>
          <w:p w14:paraId="648E8D99" w14:textId="77777777" w:rsidR="00B478A5" w:rsidRPr="00643EEE" w:rsidRDefault="00B478A5" w:rsidP="00643EEE">
            <w:pPr>
              <w:pStyle w:val="Texteprincipal"/>
              <w:spacing w:before="0" w:after="0"/>
              <w:rPr>
                <w:sz w:val="20"/>
                <w:szCs w:val="20"/>
              </w:rPr>
            </w:pPr>
            <w:r w:rsidRPr="00643EEE">
              <w:rPr>
                <w:sz w:val="20"/>
                <w:szCs w:val="20"/>
              </w:rPr>
              <w:t>Passifs financiers</w:t>
            </w:r>
          </w:p>
        </w:tc>
        <w:tc>
          <w:tcPr>
            <w:tcW w:w="1250" w:type="pct"/>
          </w:tcPr>
          <w:p w14:paraId="4BDB0331" w14:textId="77777777" w:rsidR="00B478A5" w:rsidRPr="00643EEE" w:rsidRDefault="00B478A5" w:rsidP="00643EEE">
            <w:pPr>
              <w:pStyle w:val="Texteprincipal"/>
              <w:spacing w:before="0" w:after="0"/>
              <w:jc w:val="right"/>
              <w:rPr>
                <w:sz w:val="20"/>
                <w:szCs w:val="20"/>
              </w:rPr>
            </w:pPr>
          </w:p>
        </w:tc>
        <w:tc>
          <w:tcPr>
            <w:tcW w:w="1431" w:type="pct"/>
          </w:tcPr>
          <w:p w14:paraId="2C165C1F" w14:textId="77777777" w:rsidR="00B478A5" w:rsidRPr="00643EEE" w:rsidRDefault="00B478A5" w:rsidP="00643EEE">
            <w:pPr>
              <w:pStyle w:val="Texteprincipal"/>
              <w:spacing w:before="0" w:after="0"/>
              <w:jc w:val="right"/>
              <w:rPr>
                <w:sz w:val="20"/>
                <w:szCs w:val="20"/>
              </w:rPr>
            </w:pPr>
          </w:p>
        </w:tc>
        <w:tc>
          <w:tcPr>
            <w:tcW w:w="1070" w:type="pct"/>
          </w:tcPr>
          <w:p w14:paraId="70D8EB9F" w14:textId="77777777" w:rsidR="00B478A5" w:rsidRPr="00643EEE" w:rsidRDefault="00B478A5" w:rsidP="00643EEE">
            <w:pPr>
              <w:pStyle w:val="Texteprincipal"/>
              <w:spacing w:before="0" w:after="0"/>
              <w:jc w:val="right"/>
              <w:rPr>
                <w:sz w:val="20"/>
                <w:szCs w:val="20"/>
              </w:rPr>
            </w:pPr>
          </w:p>
        </w:tc>
      </w:tr>
      <w:tr w:rsidR="00B478A5" w:rsidRPr="00643EEE" w14:paraId="30BB363C" w14:textId="77777777" w:rsidTr="005117F9">
        <w:tc>
          <w:tcPr>
            <w:tcW w:w="1250" w:type="pct"/>
          </w:tcPr>
          <w:p w14:paraId="040A3B9A" w14:textId="77777777" w:rsidR="00B478A5" w:rsidRPr="00643EEE" w:rsidRDefault="00B478A5" w:rsidP="00643EEE">
            <w:pPr>
              <w:pStyle w:val="Texteprincipal"/>
              <w:spacing w:before="0" w:after="0"/>
              <w:rPr>
                <w:sz w:val="20"/>
                <w:szCs w:val="20"/>
              </w:rPr>
            </w:pPr>
            <w:r w:rsidRPr="00643EEE">
              <w:rPr>
                <w:sz w:val="20"/>
                <w:szCs w:val="20"/>
              </w:rPr>
              <w:t>Emprunts</w:t>
            </w:r>
          </w:p>
        </w:tc>
        <w:tc>
          <w:tcPr>
            <w:tcW w:w="1250" w:type="pct"/>
            <w:vAlign w:val="bottom"/>
          </w:tcPr>
          <w:p w14:paraId="179D3467" w14:textId="77777777" w:rsidR="00B478A5" w:rsidRPr="00643EEE" w:rsidRDefault="00B478A5" w:rsidP="00643EEE">
            <w:pPr>
              <w:pStyle w:val="Texteprincipal"/>
              <w:spacing w:before="0" w:after="0"/>
              <w:jc w:val="right"/>
              <w:rPr>
                <w:sz w:val="20"/>
                <w:szCs w:val="20"/>
              </w:rPr>
            </w:pPr>
            <w:r w:rsidRPr="00643EEE">
              <w:rPr>
                <w:sz w:val="20"/>
                <w:szCs w:val="20"/>
              </w:rPr>
              <w:t>-</w:t>
            </w:r>
          </w:p>
        </w:tc>
        <w:tc>
          <w:tcPr>
            <w:tcW w:w="1431" w:type="pct"/>
            <w:vAlign w:val="bottom"/>
          </w:tcPr>
          <w:p w14:paraId="04F00267" w14:textId="77777777" w:rsidR="00B478A5" w:rsidRPr="00643EEE" w:rsidRDefault="00B478A5" w:rsidP="00643EEE">
            <w:pPr>
              <w:pStyle w:val="Texteprincipal"/>
              <w:spacing w:before="0" w:after="0"/>
              <w:jc w:val="right"/>
              <w:rPr>
                <w:sz w:val="20"/>
                <w:szCs w:val="20"/>
              </w:rPr>
            </w:pPr>
            <w:r w:rsidRPr="00643EEE">
              <w:rPr>
                <w:sz w:val="20"/>
                <w:szCs w:val="20"/>
              </w:rPr>
              <w:t>xx</w:t>
            </w:r>
          </w:p>
        </w:tc>
        <w:tc>
          <w:tcPr>
            <w:tcW w:w="1070" w:type="pct"/>
            <w:vAlign w:val="bottom"/>
          </w:tcPr>
          <w:p w14:paraId="0698D8A0" w14:textId="77777777" w:rsidR="00B478A5" w:rsidRPr="00643EEE" w:rsidRDefault="00B478A5" w:rsidP="00643EEE">
            <w:pPr>
              <w:pStyle w:val="Texteprincipal"/>
              <w:spacing w:before="0" w:after="0"/>
              <w:jc w:val="right"/>
              <w:rPr>
                <w:sz w:val="20"/>
                <w:szCs w:val="20"/>
              </w:rPr>
            </w:pPr>
            <w:r w:rsidRPr="00643EEE">
              <w:rPr>
                <w:sz w:val="20"/>
                <w:szCs w:val="20"/>
              </w:rPr>
              <w:t>xx</w:t>
            </w:r>
          </w:p>
        </w:tc>
      </w:tr>
      <w:tr w:rsidR="00B478A5" w:rsidRPr="00643EEE" w14:paraId="5B9AA18B" w14:textId="77777777" w:rsidTr="005117F9">
        <w:tc>
          <w:tcPr>
            <w:tcW w:w="1250" w:type="pct"/>
            <w:tcBorders>
              <w:bottom w:val="single" w:sz="12" w:space="0" w:color="auto"/>
            </w:tcBorders>
          </w:tcPr>
          <w:p w14:paraId="191C79E9" w14:textId="77777777" w:rsidR="00B478A5" w:rsidRPr="00643EEE" w:rsidRDefault="00B478A5" w:rsidP="00643EEE">
            <w:pPr>
              <w:pStyle w:val="Texteprincipal"/>
              <w:spacing w:before="0" w:after="0"/>
              <w:rPr>
                <w:sz w:val="20"/>
                <w:szCs w:val="20"/>
              </w:rPr>
            </w:pPr>
            <w:r w:rsidRPr="00643EEE">
              <w:rPr>
                <w:sz w:val="20"/>
                <w:szCs w:val="20"/>
              </w:rPr>
              <w:t>Dettes</w:t>
            </w:r>
          </w:p>
        </w:tc>
        <w:tc>
          <w:tcPr>
            <w:tcW w:w="1250" w:type="pct"/>
            <w:tcBorders>
              <w:bottom w:val="single" w:sz="12" w:space="0" w:color="auto"/>
            </w:tcBorders>
            <w:vAlign w:val="bottom"/>
          </w:tcPr>
          <w:p w14:paraId="747D9883" w14:textId="77777777" w:rsidR="00B478A5" w:rsidRPr="00643EEE" w:rsidRDefault="00B478A5" w:rsidP="00643EEE">
            <w:pPr>
              <w:pStyle w:val="Texteprincipal"/>
              <w:spacing w:before="0" w:after="0"/>
              <w:jc w:val="right"/>
              <w:rPr>
                <w:sz w:val="20"/>
                <w:szCs w:val="20"/>
              </w:rPr>
            </w:pPr>
            <w:r w:rsidRPr="00643EEE">
              <w:rPr>
                <w:sz w:val="20"/>
                <w:szCs w:val="20"/>
              </w:rPr>
              <w:t>xx</w:t>
            </w:r>
          </w:p>
        </w:tc>
        <w:tc>
          <w:tcPr>
            <w:tcW w:w="1431" w:type="pct"/>
            <w:tcBorders>
              <w:bottom w:val="single" w:sz="12" w:space="0" w:color="auto"/>
            </w:tcBorders>
            <w:vAlign w:val="bottom"/>
          </w:tcPr>
          <w:p w14:paraId="1150D4A0" w14:textId="77777777" w:rsidR="00B478A5" w:rsidRPr="00643EEE" w:rsidRDefault="00B478A5" w:rsidP="00643EEE">
            <w:pPr>
              <w:pStyle w:val="Texteprincipal"/>
              <w:spacing w:before="0" w:after="0"/>
              <w:jc w:val="right"/>
              <w:rPr>
                <w:sz w:val="20"/>
                <w:szCs w:val="20"/>
              </w:rPr>
            </w:pPr>
            <w:r w:rsidRPr="00643EEE">
              <w:rPr>
                <w:sz w:val="20"/>
                <w:szCs w:val="20"/>
              </w:rPr>
              <w:t>-</w:t>
            </w:r>
          </w:p>
        </w:tc>
        <w:tc>
          <w:tcPr>
            <w:tcW w:w="1070" w:type="pct"/>
            <w:tcBorders>
              <w:bottom w:val="single" w:sz="12" w:space="0" w:color="auto"/>
            </w:tcBorders>
            <w:vAlign w:val="bottom"/>
          </w:tcPr>
          <w:p w14:paraId="64F9BB7D" w14:textId="77777777" w:rsidR="00B478A5" w:rsidRPr="00643EEE" w:rsidRDefault="00B478A5" w:rsidP="00643EEE">
            <w:pPr>
              <w:pStyle w:val="Texteprincipal"/>
              <w:spacing w:before="0" w:after="0"/>
              <w:jc w:val="right"/>
              <w:rPr>
                <w:sz w:val="20"/>
                <w:szCs w:val="20"/>
              </w:rPr>
            </w:pPr>
            <w:r w:rsidRPr="00643EEE">
              <w:rPr>
                <w:sz w:val="20"/>
                <w:szCs w:val="20"/>
              </w:rPr>
              <w:t>xx</w:t>
            </w:r>
          </w:p>
        </w:tc>
      </w:tr>
    </w:tbl>
    <w:p w14:paraId="56344A5B" w14:textId="149A93AC" w:rsidR="00B478A5" w:rsidRPr="005C3983" w:rsidRDefault="00B478A5" w:rsidP="00643EEE">
      <w:r w:rsidRPr="005C3983">
        <w:lastRenderedPageBreak/>
        <w:t xml:space="preserve">L’effet net, tant sur les actifs </w:t>
      </w:r>
      <w:r w:rsidR="00823984">
        <w:t xml:space="preserve">financiers </w:t>
      </w:r>
      <w:r w:rsidRPr="005C3983">
        <w:t xml:space="preserve">que sur les passifs financiers, d’une augmentation (diminution) de taux d’intérêt égale à </w:t>
      </w:r>
      <w:r w:rsidRPr="00643EEE">
        <w:rPr>
          <w:color w:val="FF0000"/>
        </w:rPr>
        <w:t>X</w:t>
      </w:r>
      <w:r w:rsidRPr="005C3983">
        <w:t xml:space="preserve"> % au cours de l’exercice aurait réduit (augmenté) de </w:t>
      </w:r>
      <w:r w:rsidRPr="00643EEE">
        <w:rPr>
          <w:color w:val="FF0000"/>
        </w:rPr>
        <w:t>X</w:t>
      </w:r>
      <w:r w:rsidR="00E11722" w:rsidRPr="00643EEE">
        <w:rPr>
          <w:color w:val="FF0000"/>
        </w:rPr>
        <w:t>X</w:t>
      </w:r>
      <w:r w:rsidRPr="005C3983">
        <w:t xml:space="preserve"> de dollars l’excédent annuel lié aux activités </w:t>
      </w:r>
      <w:r>
        <w:t xml:space="preserve">de </w:t>
      </w:r>
      <w:r w:rsidRPr="00643EEE">
        <w:rPr>
          <w:color w:val="FF0000"/>
        </w:rPr>
        <w:t>20X2</w:t>
      </w:r>
      <w:r>
        <w:t xml:space="preserve"> </w:t>
      </w:r>
      <w:r w:rsidRPr="005C3983">
        <w:t>(</w:t>
      </w:r>
      <w:r w:rsidRPr="00643EEE">
        <w:rPr>
          <w:color w:val="FF0000"/>
        </w:rPr>
        <w:t>X</w:t>
      </w:r>
      <w:r w:rsidR="00E11722" w:rsidRPr="00643EEE">
        <w:rPr>
          <w:color w:val="FF0000"/>
        </w:rPr>
        <w:t>X</w:t>
      </w:r>
      <w:r w:rsidRPr="005C3983">
        <w:t xml:space="preserve">  de dollars en </w:t>
      </w:r>
      <w:r w:rsidRPr="00643EEE">
        <w:rPr>
          <w:color w:val="FF0000"/>
        </w:rPr>
        <w:t>20X1</w:t>
      </w:r>
      <w:r w:rsidRPr="005C3983">
        <w:t xml:space="preserve">). </w:t>
      </w:r>
    </w:p>
    <w:p w14:paraId="2F155E60" w14:textId="77777777" w:rsidR="00B478A5" w:rsidRPr="005C3983" w:rsidRDefault="00B478A5" w:rsidP="005C50C3">
      <w:pPr>
        <w:pStyle w:val="Titre3"/>
      </w:pPr>
      <w:bookmarkStart w:id="18" w:name="_Toc118905542"/>
      <w:r w:rsidRPr="005C3983">
        <w:t>A</w:t>
      </w:r>
      <w:r>
        <w:t>utre risque de prix</w:t>
      </w:r>
      <w:bookmarkEnd w:id="18"/>
    </w:p>
    <w:p w14:paraId="61D25021" w14:textId="0C1D1B46" w:rsidR="00B478A5" w:rsidRPr="005C3983" w:rsidRDefault="00B478A5" w:rsidP="00643EEE">
      <w:r w:rsidRPr="005C3983">
        <w:t xml:space="preserve">L’autre risque de </w:t>
      </w:r>
      <w:r w:rsidRPr="002218FD">
        <w:t>prix auquel l’</w:t>
      </w:r>
      <w:r w:rsidR="00763710" w:rsidRPr="002218FD">
        <w:t>o</w:t>
      </w:r>
      <w:r w:rsidR="00C70202" w:rsidRPr="002218FD">
        <w:t xml:space="preserve">rganisme municipal </w:t>
      </w:r>
      <w:r w:rsidRPr="002218FD">
        <w:t xml:space="preserve">est exposé est attribuable aux variations des cours des </w:t>
      </w:r>
      <w:r w:rsidR="00763710" w:rsidRPr="002218FD">
        <w:t>fonds communs</w:t>
      </w:r>
      <w:r w:rsidRPr="002218FD">
        <w:t xml:space="preserve"> cotés sur un marché actif. Puisque l’exposition de l’</w:t>
      </w:r>
      <w:r w:rsidR="001917B8" w:rsidRPr="002218FD">
        <w:t>o</w:t>
      </w:r>
      <w:r w:rsidR="00C70202" w:rsidRPr="002218FD">
        <w:t xml:space="preserve">rganisme municipal </w:t>
      </w:r>
      <w:r w:rsidRPr="002218FD">
        <w:t>à ce risque est limitée, aucune mesure de gestion de risque n’est appliquée à cet égard.</w:t>
      </w:r>
    </w:p>
    <w:p w14:paraId="6ABB0336" w14:textId="7B1E8586" w:rsidR="00643EEE" w:rsidRDefault="00643EEE" w:rsidP="000C1D42">
      <w:pPr>
        <w:pStyle w:val="Titre1"/>
      </w:pPr>
      <w:r>
        <w:t>Obligations liées à la mise hors service d’immobilisations</w:t>
      </w:r>
    </w:p>
    <w:p w14:paraId="05870A96" w14:textId="3253A9C9" w:rsidR="00136D9A" w:rsidRDefault="00136D9A" w:rsidP="000C1D42">
      <w:pPr>
        <w:pStyle w:val="Titre2"/>
      </w:pPr>
      <w:r>
        <w:t>Note</w:t>
      </w:r>
      <w:r w:rsidR="00900866">
        <w:t> </w:t>
      </w:r>
      <w:r>
        <w:t xml:space="preserve">4 </w:t>
      </w:r>
      <w:r w:rsidR="00900866">
        <w:t>—</w:t>
      </w:r>
      <w:r>
        <w:t xml:space="preserve"> Modifications de méthodes comptables</w:t>
      </w:r>
    </w:p>
    <w:p w14:paraId="6DFCF21A" w14:textId="3798E368" w:rsidR="002B2A6C" w:rsidRDefault="002B2A6C" w:rsidP="00136D9A">
      <w:pPr>
        <w:pStyle w:val="Titre3"/>
      </w:pPr>
      <w:r>
        <w:t xml:space="preserve">Adoption initiale </w:t>
      </w:r>
      <w:r w:rsidR="00900866">
        <w:t>—</w:t>
      </w:r>
      <w:r>
        <w:t xml:space="preserve"> obligations liées à la mise hors service d’immobilisations (chapitre SP</w:t>
      </w:r>
      <w:r w:rsidR="00900866">
        <w:t> </w:t>
      </w:r>
      <w:r>
        <w:t>3280)</w:t>
      </w:r>
    </w:p>
    <w:p w14:paraId="1BE0BA85" w14:textId="4E5B3678" w:rsidR="002B2A6C" w:rsidRDefault="002B2A6C" w:rsidP="00033C97">
      <w:r w:rsidRPr="007A5EE0">
        <w:t xml:space="preserve">À compter du présent exercice, </w:t>
      </w:r>
      <w:r w:rsidR="001917B8">
        <w:t>l’organisme municipal</w:t>
      </w:r>
      <w:r w:rsidRPr="00762A49">
        <w:t xml:space="preserve"> </w:t>
      </w:r>
      <w:r w:rsidRPr="007A5EE0">
        <w:t>a adopté l</w:t>
      </w:r>
      <w:r>
        <w:t>es exigences</w:t>
      </w:r>
      <w:r w:rsidRPr="004F50AD">
        <w:t xml:space="preserve"> du nouveau chapitre SP</w:t>
      </w:r>
      <w:r w:rsidR="00900866">
        <w:t> </w:t>
      </w:r>
      <w:r w:rsidRPr="004F50AD">
        <w:t xml:space="preserve">3280, </w:t>
      </w:r>
      <w:r w:rsidRPr="00762A49">
        <w:rPr>
          <w:i/>
          <w:iCs/>
        </w:rPr>
        <w:t>Obligations liées à la mise hors service d’immobilisations</w:t>
      </w:r>
      <w:r w:rsidRPr="004F50AD">
        <w:t xml:space="preserve">, du </w:t>
      </w:r>
      <w:r w:rsidRPr="006A010E">
        <w:rPr>
          <w:i/>
          <w:iCs/>
        </w:rPr>
        <w:t>Manuel de comptabilité de CPA Canada pour le secteur public</w:t>
      </w:r>
      <w:r>
        <w:t>, applicable aux exercices ouverts à compter du 1</w:t>
      </w:r>
      <w:r w:rsidRPr="00762A49">
        <w:rPr>
          <w:vertAlign w:val="superscript"/>
        </w:rPr>
        <w:t>er</w:t>
      </w:r>
      <w:r w:rsidR="00CF5FBD">
        <w:t> </w:t>
      </w:r>
      <w:r>
        <w:t>avril 2022</w:t>
      </w:r>
      <w:r w:rsidRPr="00762A49">
        <w:t>.</w:t>
      </w:r>
      <w:r w:rsidRPr="004F50AD">
        <w:t xml:space="preserve"> Conformément aux exigences du nouveau chapitre SP 3280, l</w:t>
      </w:r>
      <w:r w:rsidR="008C7199">
        <w:t>’</w:t>
      </w:r>
      <w:r w:rsidR="001C3602">
        <w:t>organisme</w:t>
      </w:r>
      <w:r w:rsidRPr="004F50AD">
        <w:t xml:space="preserve"> </w:t>
      </w:r>
      <w:r w:rsidR="0052205E">
        <w:t xml:space="preserve">municipal </w:t>
      </w:r>
      <w:r w:rsidRPr="004F50AD">
        <w:t>comptabilise un passif et une augmentation correspondante du coût de l</w:t>
      </w:r>
      <w:r w:rsidR="00900866">
        <w:t>’</w:t>
      </w:r>
      <w:r w:rsidRPr="004F50AD">
        <w:t>immobilisation corporelle visée à l</w:t>
      </w:r>
      <w:r w:rsidR="00900866">
        <w:t>’</w:t>
      </w:r>
      <w:r w:rsidRPr="004F50AD">
        <w:t>égard des obligations juridiques qui sont liées à la mise hors service d</w:t>
      </w:r>
      <w:r w:rsidR="00900866">
        <w:t>’</w:t>
      </w:r>
      <w:r w:rsidRPr="004F50AD">
        <w:t>une immobilisation corporelle et qui résultent de son acquisition, de sa construction, de son développement, de sa mise en valeur ou de son utilisation normale. Ces recommandations s’appliquent aux obligations liées à la mise hors service d’immobilisations corporelles contrôlées par l’</w:t>
      </w:r>
      <w:r w:rsidR="00E675D9">
        <w:t>organisme</w:t>
      </w:r>
      <w:r w:rsidR="0052205E">
        <w:t xml:space="preserve"> municipal</w:t>
      </w:r>
      <w:r w:rsidRPr="004F50AD">
        <w:t xml:space="preserve"> qui font ou non encore l’objet d’un usage productif, y compris les immobilisations corporelles louées.</w:t>
      </w:r>
    </w:p>
    <w:p w14:paraId="63F15EE9" w14:textId="51A33CE1" w:rsidR="002B2A6C" w:rsidRPr="004F50AD" w:rsidRDefault="002B2A6C" w:rsidP="00415B40">
      <w:r w:rsidRPr="004F50AD">
        <w:t>Conformément aux nouvelles exigences, l’</w:t>
      </w:r>
      <w:r w:rsidR="001C3602">
        <w:t>organisme</w:t>
      </w:r>
      <w:r w:rsidRPr="004F50AD">
        <w:t xml:space="preserve"> </w:t>
      </w:r>
      <w:r w:rsidR="0052205E">
        <w:t xml:space="preserve">municipal </w:t>
      </w:r>
      <w:r w:rsidRPr="004F50AD">
        <w:t>doit comptabiliser un tel passif lorsque les conditions suivantes sont réunies :</w:t>
      </w:r>
    </w:p>
    <w:p w14:paraId="3DD30A8E" w14:textId="6C8E2AFB" w:rsidR="002B2A6C" w:rsidRPr="004F50AD" w:rsidRDefault="002B2A6C" w:rsidP="00415B40">
      <w:pPr>
        <w:pStyle w:val="Paragraphedeliste"/>
        <w:numPr>
          <w:ilvl w:val="0"/>
          <w:numId w:val="2"/>
        </w:numPr>
      </w:pPr>
      <w:r w:rsidRPr="004F50AD">
        <w:t xml:space="preserve">Il existe une obligation juridique qui oblige </w:t>
      </w:r>
      <w:r w:rsidR="0052205E">
        <w:t xml:space="preserve">l’organisme municipal </w:t>
      </w:r>
      <w:r w:rsidRPr="004F50AD">
        <w:t>à engager des coûts de mise hors service relativement à une immobilisation corporelle;</w:t>
      </w:r>
    </w:p>
    <w:p w14:paraId="6448B15E" w14:textId="77777777" w:rsidR="002B2A6C" w:rsidRPr="004F50AD" w:rsidRDefault="002B2A6C" w:rsidP="00415B40">
      <w:pPr>
        <w:pStyle w:val="Paragraphedeliste"/>
        <w:numPr>
          <w:ilvl w:val="0"/>
          <w:numId w:val="2"/>
        </w:numPr>
      </w:pPr>
      <w:r w:rsidRPr="004F50AD">
        <w:t>L’opération ou l’événement passé à l’origine du passif est survenu;</w:t>
      </w:r>
    </w:p>
    <w:p w14:paraId="53C93D70" w14:textId="77777777" w:rsidR="002B2A6C" w:rsidRPr="004F50AD" w:rsidRDefault="002B2A6C" w:rsidP="00415B40">
      <w:pPr>
        <w:pStyle w:val="Paragraphedeliste"/>
        <w:numPr>
          <w:ilvl w:val="0"/>
          <w:numId w:val="2"/>
        </w:numPr>
      </w:pPr>
      <w:r w:rsidRPr="004F50AD">
        <w:t>Il est prévu que des avantages économiques futurs seront abandonnés;</w:t>
      </w:r>
    </w:p>
    <w:p w14:paraId="6A46C6CE" w14:textId="77777777" w:rsidR="002B2A6C" w:rsidRPr="004F50AD" w:rsidRDefault="002B2A6C" w:rsidP="00415B40">
      <w:pPr>
        <w:pStyle w:val="Paragraphedeliste"/>
        <w:numPr>
          <w:ilvl w:val="0"/>
          <w:numId w:val="2"/>
        </w:numPr>
      </w:pPr>
      <w:r w:rsidRPr="004F50AD">
        <w:t>Il est possible de procéder à une estimation raisonnable du montant en cause.</w:t>
      </w:r>
    </w:p>
    <w:p w14:paraId="6511F5C2" w14:textId="77777777" w:rsidR="002B2A6C" w:rsidRPr="004F50AD" w:rsidRDefault="002B2A6C" w:rsidP="00415B40">
      <w:r w:rsidRPr="004F50AD">
        <w:t xml:space="preserve">Conformément aux dispositions transitoires, ces exigences ont fait l’objet d’une application </w:t>
      </w:r>
      <w:r>
        <w:t>[</w:t>
      </w:r>
      <w:r w:rsidRPr="005D05F6">
        <w:rPr>
          <w:i/>
          <w:iCs/>
          <w:color w:val="FF0000"/>
        </w:rPr>
        <w:t>rétroactive modifiée, rétroactive ou prospective</w:t>
      </w:r>
      <w:r>
        <w:t>]</w:t>
      </w:r>
      <w:r w:rsidRPr="004F50AD">
        <w:t>.</w:t>
      </w:r>
    </w:p>
    <w:p w14:paraId="1ACEC8AB" w14:textId="77777777" w:rsidR="002B2A6C" w:rsidRPr="00033C97" w:rsidRDefault="002B2A6C" w:rsidP="00415B40">
      <w:pPr>
        <w:rPr>
          <w:i/>
          <w:iCs/>
          <w:color w:val="FF0000"/>
        </w:rPr>
      </w:pPr>
      <w:r w:rsidRPr="00033C97">
        <w:rPr>
          <w:i/>
          <w:iCs/>
          <w:color w:val="FF0000"/>
        </w:rPr>
        <w:t xml:space="preserve">Si l’application initiale n’a aucune incidence sur les états financiers </w:t>
      </w:r>
    </w:p>
    <w:p w14:paraId="09F50DE2" w14:textId="14E0D08E" w:rsidR="002B2A6C" w:rsidRPr="004F50AD" w:rsidRDefault="002B2A6C" w:rsidP="00415B40">
      <w:r w:rsidRPr="004F50AD">
        <w:t xml:space="preserve">L’adoption de ces nouvelles recommandations n’a eu aucune incidence sur les états financiers de </w:t>
      </w:r>
      <w:r w:rsidR="004E7EAE" w:rsidRPr="004F50AD">
        <w:t>l’</w:t>
      </w:r>
      <w:r w:rsidR="004E7EAE">
        <w:t>organisme</w:t>
      </w:r>
      <w:r w:rsidR="0052205E">
        <w:t xml:space="preserve"> municipal</w:t>
      </w:r>
      <w:r w:rsidRPr="004F50AD">
        <w:t>.</w:t>
      </w:r>
    </w:p>
    <w:p w14:paraId="5431FA53" w14:textId="118EBC47" w:rsidR="002B2A6C" w:rsidRPr="00033C97" w:rsidRDefault="002B2A6C" w:rsidP="00415B40">
      <w:pPr>
        <w:rPr>
          <w:i/>
          <w:iCs/>
          <w:color w:val="FF0000"/>
        </w:rPr>
      </w:pPr>
      <w:r w:rsidRPr="00033C97">
        <w:rPr>
          <w:i/>
          <w:iCs/>
          <w:color w:val="FF0000"/>
        </w:rPr>
        <w:t xml:space="preserve">Si l’application initiale a une incidence sur les états financiers </w:t>
      </w:r>
      <w:r w:rsidR="00900866">
        <w:rPr>
          <w:i/>
          <w:iCs/>
          <w:color w:val="FF0000"/>
        </w:rPr>
        <w:t>—</w:t>
      </w:r>
      <w:r w:rsidRPr="00033C97">
        <w:rPr>
          <w:i/>
          <w:iCs/>
          <w:color w:val="FF0000"/>
        </w:rPr>
        <w:t xml:space="preserve"> application prospective </w:t>
      </w:r>
    </w:p>
    <w:p w14:paraId="1C5D1F11" w14:textId="77777777" w:rsidR="002B2A6C" w:rsidRPr="007A5EE0" w:rsidRDefault="002B2A6C" w:rsidP="005C50C3">
      <w:pPr>
        <w:pageBreakBefore/>
      </w:pPr>
      <w:r>
        <w:lastRenderedPageBreak/>
        <w:t>Ces nouvelles exigences ayant été</w:t>
      </w:r>
      <w:r w:rsidRPr="007A5EE0">
        <w:t xml:space="preserve"> appliquée</w:t>
      </w:r>
      <w:r>
        <w:t>s</w:t>
      </w:r>
      <w:r w:rsidRPr="007A5EE0">
        <w:t xml:space="preserve"> de façon prospective, il n’y a eu aucun retraitement des états financiers de l’exercice antérieur. Ceci a eu pour effet d’augmenter (de diminuer) les postes suivants des états financiers</w:t>
      </w:r>
      <w:r>
        <w:t> :</w:t>
      </w:r>
      <w:r w:rsidRPr="007A5EE0">
        <w:t xml:space="preserve"> </w:t>
      </w:r>
    </w:p>
    <w:tbl>
      <w:tblPr>
        <w:tblW w:w="8505" w:type="dxa"/>
        <w:tblInd w:w="108" w:type="dxa"/>
        <w:tblLayout w:type="fixed"/>
        <w:tblLook w:val="01E0" w:firstRow="1" w:lastRow="1" w:firstColumn="1" w:lastColumn="1" w:noHBand="0" w:noVBand="0"/>
      </w:tblPr>
      <w:tblGrid>
        <w:gridCol w:w="5670"/>
        <w:gridCol w:w="2835"/>
      </w:tblGrid>
      <w:tr w:rsidR="002B2A6C" w:rsidRPr="007A5EE0" w14:paraId="1D1DD932" w14:textId="77777777" w:rsidTr="005117F9">
        <w:trPr>
          <w:trHeight w:val="323"/>
        </w:trPr>
        <w:tc>
          <w:tcPr>
            <w:tcW w:w="5670" w:type="dxa"/>
            <w:tcBorders>
              <w:top w:val="single" w:sz="4" w:space="0" w:color="auto"/>
              <w:left w:val="nil"/>
              <w:bottom w:val="single" w:sz="4" w:space="0" w:color="auto"/>
              <w:right w:val="nil"/>
            </w:tcBorders>
            <w:shd w:val="clear" w:color="auto" w:fill="E6E6E6"/>
            <w:vAlign w:val="bottom"/>
          </w:tcPr>
          <w:p w14:paraId="5A6302D2" w14:textId="77777777" w:rsidR="002B2A6C" w:rsidRPr="007A5EE0" w:rsidRDefault="002B2A6C" w:rsidP="00415B40">
            <w:pPr>
              <w:pStyle w:val="Normaltableau"/>
            </w:pPr>
            <w:r>
              <w:t>Postes des états financiers</w:t>
            </w:r>
          </w:p>
        </w:tc>
        <w:tc>
          <w:tcPr>
            <w:tcW w:w="2835" w:type="dxa"/>
            <w:tcBorders>
              <w:top w:val="single" w:sz="4" w:space="0" w:color="auto"/>
              <w:left w:val="nil"/>
              <w:bottom w:val="single" w:sz="4" w:space="0" w:color="auto"/>
              <w:right w:val="nil"/>
            </w:tcBorders>
            <w:shd w:val="clear" w:color="auto" w:fill="E6E6E6"/>
            <w:vAlign w:val="bottom"/>
          </w:tcPr>
          <w:p w14:paraId="23700FE0" w14:textId="77777777" w:rsidR="002B2A6C" w:rsidRPr="007A5EE0" w:rsidRDefault="002B2A6C" w:rsidP="00415B40">
            <w:pPr>
              <w:pStyle w:val="chiffrestableau"/>
            </w:pPr>
            <w:r w:rsidRPr="007A5EE0">
              <w:t>20X2 </w:t>
            </w:r>
          </w:p>
        </w:tc>
      </w:tr>
      <w:tr w:rsidR="002B2A6C" w:rsidRPr="007A5EE0" w14:paraId="1BB98D17" w14:textId="77777777" w:rsidTr="005117F9">
        <w:trPr>
          <w:trHeight w:val="347"/>
        </w:trPr>
        <w:tc>
          <w:tcPr>
            <w:tcW w:w="5670" w:type="dxa"/>
            <w:tcBorders>
              <w:top w:val="single" w:sz="4" w:space="0" w:color="auto"/>
              <w:left w:val="nil"/>
              <w:right w:val="nil"/>
            </w:tcBorders>
            <w:vAlign w:val="bottom"/>
          </w:tcPr>
          <w:p w14:paraId="1D221E52" w14:textId="24C6F9C7" w:rsidR="002B2A6C" w:rsidRPr="007A5EE0" w:rsidRDefault="0091386B" w:rsidP="007B15D7">
            <w:pPr>
              <w:pStyle w:val="chiffrestableau"/>
              <w:jc w:val="left"/>
            </w:pPr>
            <w:proofErr w:type="spellStart"/>
            <w:r w:rsidRPr="007A5EE0">
              <w:t>X</w:t>
            </w:r>
            <w:r w:rsidR="002B2A6C" w:rsidRPr="007A5EE0">
              <w:t>xxx</w:t>
            </w:r>
            <w:proofErr w:type="spellEnd"/>
          </w:p>
        </w:tc>
        <w:tc>
          <w:tcPr>
            <w:tcW w:w="2835" w:type="dxa"/>
            <w:tcBorders>
              <w:top w:val="single" w:sz="4" w:space="0" w:color="auto"/>
              <w:left w:val="nil"/>
              <w:right w:val="nil"/>
            </w:tcBorders>
            <w:vAlign w:val="bottom"/>
          </w:tcPr>
          <w:p w14:paraId="40F1EA62" w14:textId="77777777" w:rsidR="002B2A6C" w:rsidRPr="007A5EE0" w:rsidRDefault="002B2A6C" w:rsidP="00415B40">
            <w:pPr>
              <w:pStyle w:val="chiffrestableau"/>
            </w:pPr>
            <w:r w:rsidRPr="007A5EE0">
              <w:t>(xx)</w:t>
            </w:r>
          </w:p>
        </w:tc>
      </w:tr>
      <w:tr w:rsidR="002B2A6C" w:rsidRPr="007A5EE0" w14:paraId="586F2144" w14:textId="77777777" w:rsidTr="005117F9">
        <w:trPr>
          <w:trHeight w:val="269"/>
        </w:trPr>
        <w:tc>
          <w:tcPr>
            <w:tcW w:w="5670" w:type="dxa"/>
            <w:vAlign w:val="bottom"/>
          </w:tcPr>
          <w:p w14:paraId="38667CE1" w14:textId="57DED86D" w:rsidR="002B2A6C" w:rsidRPr="007A5EE0" w:rsidRDefault="0091386B" w:rsidP="007B15D7">
            <w:pPr>
              <w:pStyle w:val="chiffrestableau"/>
              <w:jc w:val="left"/>
            </w:pPr>
            <w:proofErr w:type="spellStart"/>
            <w:r w:rsidRPr="007A5EE0">
              <w:t>X</w:t>
            </w:r>
            <w:r w:rsidR="002B2A6C" w:rsidRPr="007A5EE0">
              <w:t>xxx</w:t>
            </w:r>
            <w:proofErr w:type="spellEnd"/>
          </w:p>
        </w:tc>
        <w:tc>
          <w:tcPr>
            <w:tcW w:w="2835" w:type="dxa"/>
            <w:vAlign w:val="bottom"/>
          </w:tcPr>
          <w:p w14:paraId="4ED18F31" w14:textId="77777777" w:rsidR="002B2A6C" w:rsidRPr="007A5EE0" w:rsidRDefault="002B2A6C" w:rsidP="00415B40">
            <w:pPr>
              <w:pStyle w:val="chiffrestableau"/>
            </w:pPr>
            <w:r w:rsidRPr="007A5EE0">
              <w:t>xx</w:t>
            </w:r>
          </w:p>
        </w:tc>
      </w:tr>
      <w:tr w:rsidR="002B2A6C" w:rsidRPr="007A5EE0" w14:paraId="33BAF9AE" w14:textId="77777777" w:rsidTr="005117F9">
        <w:trPr>
          <w:trHeight w:val="269"/>
        </w:trPr>
        <w:tc>
          <w:tcPr>
            <w:tcW w:w="5670" w:type="dxa"/>
            <w:vAlign w:val="bottom"/>
          </w:tcPr>
          <w:p w14:paraId="3A5C1F12" w14:textId="7543D231" w:rsidR="002B2A6C" w:rsidRPr="007A5EE0" w:rsidRDefault="0091386B" w:rsidP="007B15D7">
            <w:pPr>
              <w:pStyle w:val="chiffrestableau"/>
              <w:jc w:val="left"/>
            </w:pPr>
            <w:proofErr w:type="spellStart"/>
            <w:r w:rsidRPr="007A5EE0">
              <w:t>X</w:t>
            </w:r>
            <w:r w:rsidR="002B2A6C" w:rsidRPr="007A5EE0">
              <w:t>xxx</w:t>
            </w:r>
            <w:proofErr w:type="spellEnd"/>
          </w:p>
        </w:tc>
        <w:tc>
          <w:tcPr>
            <w:tcW w:w="2835" w:type="dxa"/>
            <w:vAlign w:val="bottom"/>
          </w:tcPr>
          <w:p w14:paraId="7B20C88E" w14:textId="77777777" w:rsidR="002B2A6C" w:rsidRPr="007A5EE0" w:rsidRDefault="002B2A6C" w:rsidP="00415B40">
            <w:pPr>
              <w:pStyle w:val="chiffrestableau"/>
            </w:pPr>
            <w:r w:rsidRPr="007A5EE0">
              <w:t>xx</w:t>
            </w:r>
          </w:p>
        </w:tc>
      </w:tr>
      <w:tr w:rsidR="002B2A6C" w:rsidRPr="007A5EE0" w14:paraId="21477F34" w14:textId="77777777" w:rsidTr="005117F9">
        <w:trPr>
          <w:trHeight w:val="165"/>
        </w:trPr>
        <w:tc>
          <w:tcPr>
            <w:tcW w:w="5670" w:type="dxa"/>
            <w:tcBorders>
              <w:left w:val="nil"/>
              <w:bottom w:val="single" w:sz="12" w:space="0" w:color="auto"/>
              <w:right w:val="nil"/>
            </w:tcBorders>
            <w:vAlign w:val="bottom"/>
          </w:tcPr>
          <w:p w14:paraId="2709590F" w14:textId="46582E4E" w:rsidR="002B2A6C" w:rsidRPr="007A5EE0" w:rsidRDefault="0091386B" w:rsidP="00415B40">
            <w:pPr>
              <w:pStyle w:val="Normaltableau"/>
            </w:pPr>
            <w:proofErr w:type="spellStart"/>
            <w:r w:rsidRPr="007A5EE0">
              <w:t>X</w:t>
            </w:r>
            <w:r w:rsidR="002B2A6C" w:rsidRPr="007A5EE0">
              <w:t>xxx</w:t>
            </w:r>
            <w:proofErr w:type="spellEnd"/>
          </w:p>
        </w:tc>
        <w:tc>
          <w:tcPr>
            <w:tcW w:w="2835" w:type="dxa"/>
            <w:tcBorders>
              <w:left w:val="nil"/>
              <w:bottom w:val="single" w:sz="12" w:space="0" w:color="auto"/>
              <w:right w:val="nil"/>
            </w:tcBorders>
            <w:vAlign w:val="bottom"/>
          </w:tcPr>
          <w:p w14:paraId="2CAA6DEA" w14:textId="77777777" w:rsidR="002B2A6C" w:rsidRPr="007A5EE0" w:rsidRDefault="002B2A6C" w:rsidP="00415B40">
            <w:pPr>
              <w:pStyle w:val="chiffrestableau"/>
            </w:pPr>
            <w:r w:rsidRPr="007A5EE0">
              <w:t>xx</w:t>
            </w:r>
          </w:p>
        </w:tc>
      </w:tr>
    </w:tbl>
    <w:p w14:paraId="0208AE65" w14:textId="2BD9B88D" w:rsidR="00403EB4" w:rsidRDefault="00403EB4" w:rsidP="000C1D42">
      <w:pPr>
        <w:pStyle w:val="Titre2"/>
      </w:pPr>
      <w:r>
        <w:t>Note 2</w:t>
      </w:r>
      <w:r w:rsidR="00900866">
        <w:t> </w:t>
      </w:r>
      <w:r w:rsidR="007B15D7">
        <w:t>Principales méthodes comptables</w:t>
      </w:r>
    </w:p>
    <w:p w14:paraId="0BAAA904" w14:textId="3BBFCD48" w:rsidR="00821043" w:rsidRDefault="00821043" w:rsidP="00675EB4">
      <w:pPr>
        <w:pStyle w:val="Titre3"/>
      </w:pPr>
      <w:r>
        <w:t>D) Passifs</w:t>
      </w:r>
    </w:p>
    <w:p w14:paraId="599056D8" w14:textId="2B5F8CD6" w:rsidR="00916ED3" w:rsidRPr="005D05F6" w:rsidRDefault="00916ED3" w:rsidP="00675EB4">
      <w:pPr>
        <w:pStyle w:val="Titre4"/>
      </w:pPr>
      <w:r w:rsidRPr="005D05F6">
        <w:t>Obligations liées à la mise hors service d’immobilisations</w:t>
      </w:r>
    </w:p>
    <w:p w14:paraId="3C400B07" w14:textId="7CE65434" w:rsidR="00916ED3" w:rsidRDefault="00916ED3" w:rsidP="00415B40">
      <w:r>
        <w:t>Une obligation liée à la mise hors service d’une immobilisation est comptabilisée par</w:t>
      </w:r>
      <w:r w:rsidR="0052205E">
        <w:t xml:space="preserve"> l’organisme municipal</w:t>
      </w:r>
      <w:r>
        <w:t xml:space="preserve"> en présence d’une obligation juridique liée à la mise hors service d’une immobilisation corporelle qui découle de son acquisition, de sa construction, de son développement ou de sa mise en valeur ou de son exploitation normale. L’</w:t>
      </w:r>
      <w:r w:rsidR="00296E48">
        <w:t>organisme</w:t>
      </w:r>
      <w:r>
        <w:t xml:space="preserve"> </w:t>
      </w:r>
      <w:r w:rsidR="0052205E">
        <w:t xml:space="preserve">municipal </w:t>
      </w:r>
      <w:r>
        <w:t>comptabilise un passif au titre d’une telle obligation dans la période où ce</w:t>
      </w:r>
      <w:r w:rsidR="0091386B">
        <w:t>lui</w:t>
      </w:r>
      <w:r>
        <w:t>-ci prend naissance, à la condition qu’il soit possible d’en faire une estimation raisonnable.</w:t>
      </w:r>
    </w:p>
    <w:p w14:paraId="7FF3DFD5" w14:textId="74BA6A53" w:rsidR="00916ED3" w:rsidRPr="001A1062" w:rsidRDefault="00916ED3" w:rsidP="00415B40">
      <w:r>
        <w:t xml:space="preserve">Le montant comptabilisé au titre d’une obligation liée à la mise hors service d’une immobilisation correspond à la meilleure estimation de la direction de la dépense nécessaire à l’extinction de l’obligation à la date des états financiers. </w:t>
      </w:r>
      <w:r w:rsidRPr="001A1062">
        <w:t xml:space="preserve">Les coûts de mise hors service sont capitalisés au coût des immobilisations </w:t>
      </w:r>
      <w:r w:rsidR="0052205E">
        <w:t xml:space="preserve">corporelles </w:t>
      </w:r>
      <w:r w:rsidRPr="001A1062">
        <w:t>concernées et amortis linéairement à compter de la date de l’obligation juridique jusqu’au moment prévu de l’exécution des activités de mise hors service.</w:t>
      </w:r>
      <w:r w:rsidRPr="001A1062" w:rsidDel="007162FD">
        <w:t xml:space="preserve"> </w:t>
      </w:r>
    </w:p>
    <w:p w14:paraId="49DEFBD8" w14:textId="2629887E" w:rsidR="00916ED3" w:rsidRPr="001A1062" w:rsidRDefault="00916ED3" w:rsidP="00415B40">
      <w:r w:rsidRPr="001A1062">
        <w:t>L</w:t>
      </w:r>
      <w:r w:rsidR="00900866">
        <w:t>’</w:t>
      </w:r>
      <w:r w:rsidRPr="001A1062">
        <w:t>évaluation initiale du passif est effectuée en ayant recours à l</w:t>
      </w:r>
      <w:r w:rsidR="00900866">
        <w:t>’</w:t>
      </w:r>
      <w:r w:rsidRPr="001A1062">
        <w:t>actualisation des flux de trésorerie estimatifs nécessaires pour procéder aux activités de mise hors service. Les flux de trésorerie sont ajustés en fonction de l</w:t>
      </w:r>
      <w:r w:rsidR="00900866">
        <w:t>’</w:t>
      </w:r>
      <w:r w:rsidRPr="001A1062">
        <w:t>inflation et actualisés selon le taux d</w:t>
      </w:r>
      <w:r w:rsidR="00900866">
        <w:t>’</w:t>
      </w:r>
      <w:r w:rsidRPr="001A1062">
        <w:t>actualisation qui représente la meilleure estimation de la direction quant au coût des fonds nécessaires pour régler l</w:t>
      </w:r>
      <w:r w:rsidR="00900866">
        <w:t>’</w:t>
      </w:r>
      <w:r w:rsidRPr="001A1062">
        <w:t>obligation à son échéance, qu</w:t>
      </w:r>
      <w:r w:rsidR="00900866">
        <w:t>’</w:t>
      </w:r>
      <w:r w:rsidRPr="001A1062">
        <w:t>elle soit connue ou estimée.</w:t>
      </w:r>
      <w:r w:rsidRPr="001A1062" w:rsidDel="00C0638B">
        <w:t xml:space="preserve"> </w:t>
      </w:r>
    </w:p>
    <w:p w14:paraId="0A7064EA" w14:textId="77777777" w:rsidR="00916ED3" w:rsidRPr="001A1062" w:rsidRDefault="00916ED3" w:rsidP="00415B40">
      <w:r w:rsidRPr="001A1062">
        <w:t xml:space="preserve">Le passif comptabilisé est ajusté chaque année en fonction des nouvelles obligations, des coûts réels engagés, des révisions des estimations et de la charge de </w:t>
      </w:r>
      <w:proofErr w:type="spellStart"/>
      <w:r w:rsidRPr="001A1062">
        <w:t>désactualisation</w:t>
      </w:r>
      <w:proofErr w:type="spellEnd"/>
      <w:r w:rsidRPr="001A1062">
        <w:t>.</w:t>
      </w:r>
    </w:p>
    <w:p w14:paraId="14DC1783" w14:textId="0AF3B54C" w:rsidR="00916ED3" w:rsidRPr="001A1062" w:rsidRDefault="00916ED3" w:rsidP="00415B40">
      <w:r w:rsidRPr="001A1062">
        <w:t xml:space="preserve">Le passif relatif à la mise hors service des bâtiments patrimoniaux n’est pas présenté aux états financiers. En effet, </w:t>
      </w:r>
      <w:r w:rsidR="0052205E">
        <w:t xml:space="preserve">l’organisme municipal </w:t>
      </w:r>
      <w:r w:rsidRPr="001A1062">
        <w:t>est tenu de maintenir l</w:t>
      </w:r>
      <w:r w:rsidR="00900866">
        <w:t>’</w:t>
      </w:r>
      <w:r w:rsidRPr="001A1062">
        <w:t xml:space="preserve">intégrité de ces bâtiments en vertu de la </w:t>
      </w:r>
      <w:r w:rsidRPr="004F0FFB">
        <w:rPr>
          <w:i/>
          <w:iCs/>
        </w:rPr>
        <w:t xml:space="preserve">Loi sur le patrimoine culturel </w:t>
      </w:r>
      <w:r w:rsidRPr="001A1062">
        <w:t>de sorte que la date probable de mise hors service de ces bâtiments est si éloignée dans le temps que la valeur actualisée de l</w:t>
      </w:r>
      <w:r w:rsidR="00900866">
        <w:t>’</w:t>
      </w:r>
      <w:r w:rsidRPr="001A1062">
        <w:t>obligation est négligeable. L’obligation liée à la mise hors service de ces bâtiments sera présentée aux états financiers dès le moment où la désignation patrimoniale sera retirée ou la démolition du bâtiment autorisée, le cas échéant.</w:t>
      </w:r>
    </w:p>
    <w:p w14:paraId="576ED629" w14:textId="01012F96" w:rsidR="00916ED3" w:rsidRPr="00B21F9A" w:rsidRDefault="001C4967" w:rsidP="000C1D42">
      <w:pPr>
        <w:pStyle w:val="Titre2"/>
      </w:pPr>
      <w:r w:rsidRPr="00B21F9A">
        <w:t>Note</w:t>
      </w:r>
      <w:r w:rsidR="00900866">
        <w:t> </w:t>
      </w:r>
      <w:r w:rsidRPr="00B21F9A">
        <w:t xml:space="preserve">14 </w:t>
      </w:r>
      <w:r w:rsidR="00900866">
        <w:t>—</w:t>
      </w:r>
      <w:r w:rsidRPr="00B21F9A">
        <w:t xml:space="preserve"> Autres passifs</w:t>
      </w:r>
    </w:p>
    <w:p w14:paraId="2C255411" w14:textId="70DF9242" w:rsidR="001C4967" w:rsidRPr="00762A49" w:rsidRDefault="001C4967" w:rsidP="00675EB4">
      <w:pPr>
        <w:pStyle w:val="Titre3"/>
      </w:pPr>
      <w:r w:rsidRPr="00762A49">
        <w:t>Obligations liées à la mise hors service d’immobilisations</w:t>
      </w:r>
    </w:p>
    <w:p w14:paraId="714A21E6" w14:textId="77777777" w:rsidR="001C13F6" w:rsidRDefault="00653469" w:rsidP="00653469">
      <w:r>
        <w:t>Les obligations liées à la mise hors service d’immobilisations de l’</w:t>
      </w:r>
      <w:r w:rsidR="000D0F84">
        <w:t>organisme municipal</w:t>
      </w:r>
      <w:r>
        <w:t xml:space="preserve"> concernent principalement </w:t>
      </w:r>
      <w:r w:rsidR="00C11C96" w:rsidRPr="00C11C96">
        <w:rPr>
          <w:b/>
          <w:bCs/>
          <w:color w:val="FF0000"/>
        </w:rPr>
        <w:t>[à personnaliser]</w:t>
      </w:r>
      <w:r>
        <w:t xml:space="preserve">. Les autres obligations liées à la mise hors service sont notamment </w:t>
      </w:r>
      <w:r w:rsidR="001C13F6" w:rsidRPr="00C11C96">
        <w:rPr>
          <w:b/>
          <w:bCs/>
          <w:color w:val="FF0000"/>
        </w:rPr>
        <w:t>[à personnaliser]</w:t>
      </w:r>
      <w:r w:rsidR="001C13F6">
        <w:t xml:space="preserve">. </w:t>
      </w:r>
    </w:p>
    <w:p w14:paraId="0C43E540" w14:textId="302BEA66" w:rsidR="00653469" w:rsidRDefault="00B07AB5" w:rsidP="00653469">
      <w:r w:rsidRPr="00B07AB5">
        <w:rPr>
          <w:b/>
          <w:bCs/>
          <w:color w:val="FF0000"/>
        </w:rPr>
        <w:lastRenderedPageBreak/>
        <w:t>(SI APPLICABLE)</w:t>
      </w:r>
      <w:r w:rsidRPr="00B07AB5">
        <w:rPr>
          <w:color w:val="FF0000"/>
        </w:rPr>
        <w:t xml:space="preserve"> </w:t>
      </w:r>
      <w:r w:rsidR="00653469">
        <w:t xml:space="preserve">L’établissement détient </w:t>
      </w:r>
      <w:r w:rsidRPr="00B07AB5">
        <w:rPr>
          <w:b/>
          <w:bCs/>
          <w:color w:val="FF0000"/>
        </w:rPr>
        <w:t>XX</w:t>
      </w:r>
      <w:r w:rsidR="00653469">
        <w:t xml:space="preserve"> bâtiments patrimoniaux pour lesquels aucune obligation liée à la mise hors service n’est</w:t>
      </w:r>
      <w:r>
        <w:t xml:space="preserve"> </w:t>
      </w:r>
      <w:r w:rsidR="00653469">
        <w:t>présentée aux états financiers.</w:t>
      </w:r>
    </w:p>
    <w:p w14:paraId="23BE6D4E" w14:textId="1C458172" w:rsidR="00653469" w:rsidRDefault="00653469" w:rsidP="003F62C5">
      <w:pPr>
        <w:pStyle w:val="Titre4"/>
      </w:pPr>
      <w:r>
        <w:t>Évolution des obligations liées à la mise hors service d</w:t>
      </w:r>
      <w:r w:rsidR="00900866">
        <w:t>’</w:t>
      </w:r>
      <w:r>
        <w:t>immobilisations</w:t>
      </w:r>
    </w:p>
    <w:tbl>
      <w:tblPr>
        <w:tblStyle w:val="Grilledutableau"/>
        <w:tblW w:w="0" w:type="auto"/>
        <w:tblLook w:val="04A0" w:firstRow="1" w:lastRow="0" w:firstColumn="1" w:lastColumn="0" w:noHBand="0" w:noVBand="1"/>
      </w:tblPr>
      <w:tblGrid>
        <w:gridCol w:w="3114"/>
        <w:gridCol w:w="1134"/>
        <w:gridCol w:w="1559"/>
        <w:gridCol w:w="1418"/>
        <w:gridCol w:w="1405"/>
      </w:tblGrid>
      <w:tr w:rsidR="00F039AA" w:rsidRPr="001E4B1A" w14:paraId="0F5A4B6C" w14:textId="77777777" w:rsidTr="00C43F74">
        <w:tc>
          <w:tcPr>
            <w:tcW w:w="3114" w:type="dxa"/>
          </w:tcPr>
          <w:p w14:paraId="76E64B2E" w14:textId="77777777" w:rsidR="00F039AA" w:rsidRPr="001E4B1A" w:rsidRDefault="00F039AA" w:rsidP="001E4B1A">
            <w:pPr>
              <w:spacing w:before="0" w:after="0"/>
              <w:rPr>
                <w:sz w:val="20"/>
              </w:rPr>
            </w:pPr>
          </w:p>
        </w:tc>
        <w:tc>
          <w:tcPr>
            <w:tcW w:w="4111" w:type="dxa"/>
            <w:gridSpan w:val="3"/>
          </w:tcPr>
          <w:p w14:paraId="2EFC21F8" w14:textId="6D013537" w:rsidR="00F039AA" w:rsidRPr="001E4B1A" w:rsidRDefault="00F039AA" w:rsidP="00F039AA">
            <w:pPr>
              <w:spacing w:before="0" w:after="0"/>
              <w:jc w:val="center"/>
              <w:rPr>
                <w:sz w:val="20"/>
              </w:rPr>
            </w:pPr>
            <w:r>
              <w:rPr>
                <w:sz w:val="20"/>
              </w:rPr>
              <w:t>20X1</w:t>
            </w:r>
          </w:p>
        </w:tc>
        <w:tc>
          <w:tcPr>
            <w:tcW w:w="1405" w:type="dxa"/>
          </w:tcPr>
          <w:p w14:paraId="19AFFBC4" w14:textId="44D11B6A" w:rsidR="00F039AA" w:rsidRPr="001E4B1A" w:rsidRDefault="00F039AA" w:rsidP="00F039AA">
            <w:pPr>
              <w:spacing w:before="0" w:after="0"/>
              <w:jc w:val="right"/>
              <w:rPr>
                <w:sz w:val="20"/>
              </w:rPr>
            </w:pPr>
            <w:r>
              <w:rPr>
                <w:sz w:val="20"/>
              </w:rPr>
              <w:t>20X0</w:t>
            </w:r>
          </w:p>
        </w:tc>
      </w:tr>
      <w:tr w:rsidR="00F039AA" w:rsidRPr="001E4B1A" w14:paraId="257D3A1A" w14:textId="77777777" w:rsidTr="00C43F74">
        <w:tc>
          <w:tcPr>
            <w:tcW w:w="3114" w:type="dxa"/>
          </w:tcPr>
          <w:p w14:paraId="160C3113" w14:textId="77777777" w:rsidR="00F039AA" w:rsidRPr="001E4B1A" w:rsidRDefault="00F039AA" w:rsidP="00F039AA">
            <w:pPr>
              <w:spacing w:before="0" w:after="0"/>
              <w:rPr>
                <w:sz w:val="20"/>
              </w:rPr>
            </w:pPr>
          </w:p>
        </w:tc>
        <w:tc>
          <w:tcPr>
            <w:tcW w:w="1134" w:type="dxa"/>
          </w:tcPr>
          <w:p w14:paraId="6CC35A46" w14:textId="79F0DC6D" w:rsidR="00F039AA" w:rsidRPr="001E4B1A" w:rsidRDefault="00F039AA" w:rsidP="00F039AA">
            <w:pPr>
              <w:spacing w:before="0" w:after="0"/>
              <w:rPr>
                <w:sz w:val="20"/>
              </w:rPr>
            </w:pPr>
            <w:r w:rsidRPr="003A3D81">
              <w:rPr>
                <w:color w:val="FF0000"/>
                <w:sz w:val="20"/>
              </w:rPr>
              <w:t>XXX</w:t>
            </w:r>
          </w:p>
        </w:tc>
        <w:tc>
          <w:tcPr>
            <w:tcW w:w="1559" w:type="dxa"/>
          </w:tcPr>
          <w:p w14:paraId="1D6B2E5C" w14:textId="284527CD" w:rsidR="00F039AA" w:rsidRPr="001E4B1A" w:rsidRDefault="00F039AA" w:rsidP="00F039AA">
            <w:pPr>
              <w:spacing w:before="0" w:after="0"/>
              <w:rPr>
                <w:sz w:val="20"/>
              </w:rPr>
            </w:pPr>
            <w:r>
              <w:rPr>
                <w:sz w:val="20"/>
              </w:rPr>
              <w:t>Autres</w:t>
            </w:r>
          </w:p>
        </w:tc>
        <w:tc>
          <w:tcPr>
            <w:tcW w:w="1418" w:type="dxa"/>
          </w:tcPr>
          <w:p w14:paraId="33DE4DDF" w14:textId="0014B406" w:rsidR="00F039AA" w:rsidRPr="001E4B1A" w:rsidRDefault="00F039AA" w:rsidP="00F039AA">
            <w:pPr>
              <w:spacing w:before="0" w:after="0"/>
              <w:rPr>
                <w:sz w:val="20"/>
              </w:rPr>
            </w:pPr>
            <w:r>
              <w:rPr>
                <w:sz w:val="20"/>
              </w:rPr>
              <w:t>Total</w:t>
            </w:r>
          </w:p>
        </w:tc>
        <w:tc>
          <w:tcPr>
            <w:tcW w:w="1405" w:type="dxa"/>
          </w:tcPr>
          <w:p w14:paraId="725E44AB" w14:textId="354B07C6" w:rsidR="00F039AA" w:rsidRPr="001E4B1A" w:rsidRDefault="00F039AA" w:rsidP="00F039AA">
            <w:pPr>
              <w:spacing w:before="0" w:after="0"/>
              <w:rPr>
                <w:sz w:val="20"/>
              </w:rPr>
            </w:pPr>
            <w:r>
              <w:rPr>
                <w:sz w:val="20"/>
              </w:rPr>
              <w:t>Total</w:t>
            </w:r>
          </w:p>
        </w:tc>
      </w:tr>
      <w:tr w:rsidR="00F039AA" w:rsidRPr="001E4B1A" w14:paraId="1EBA4133" w14:textId="77777777" w:rsidTr="00C43F74">
        <w:tc>
          <w:tcPr>
            <w:tcW w:w="3114" w:type="dxa"/>
          </w:tcPr>
          <w:p w14:paraId="502AB32A" w14:textId="12322A3F" w:rsidR="00F039AA" w:rsidRPr="0021446C" w:rsidRDefault="00F039AA" w:rsidP="00F039AA">
            <w:pPr>
              <w:spacing w:before="0" w:after="0"/>
              <w:rPr>
                <w:b/>
                <w:bCs/>
                <w:sz w:val="20"/>
              </w:rPr>
            </w:pPr>
            <w:r w:rsidRPr="0021446C">
              <w:rPr>
                <w:b/>
                <w:bCs/>
                <w:sz w:val="20"/>
              </w:rPr>
              <w:t>Solde de début</w:t>
            </w:r>
          </w:p>
        </w:tc>
        <w:tc>
          <w:tcPr>
            <w:tcW w:w="1134" w:type="dxa"/>
          </w:tcPr>
          <w:p w14:paraId="1128232F" w14:textId="2660CD3C" w:rsidR="00F039AA" w:rsidRPr="0021446C" w:rsidRDefault="00F039AA" w:rsidP="00C43F74">
            <w:pPr>
              <w:spacing w:before="0" w:after="0"/>
              <w:jc w:val="right"/>
              <w:rPr>
                <w:b/>
                <w:bCs/>
                <w:sz w:val="20"/>
              </w:rPr>
            </w:pPr>
          </w:p>
        </w:tc>
        <w:tc>
          <w:tcPr>
            <w:tcW w:w="1559" w:type="dxa"/>
          </w:tcPr>
          <w:p w14:paraId="4BDA7C25" w14:textId="4FC07BF9" w:rsidR="00F039AA" w:rsidRPr="0021446C" w:rsidRDefault="00F039AA" w:rsidP="00C43F74">
            <w:pPr>
              <w:spacing w:before="0" w:after="0"/>
              <w:jc w:val="right"/>
              <w:rPr>
                <w:b/>
                <w:bCs/>
                <w:sz w:val="20"/>
              </w:rPr>
            </w:pPr>
          </w:p>
        </w:tc>
        <w:tc>
          <w:tcPr>
            <w:tcW w:w="1418" w:type="dxa"/>
          </w:tcPr>
          <w:p w14:paraId="17D96884" w14:textId="643E93FF" w:rsidR="00F039AA" w:rsidRPr="0021446C" w:rsidRDefault="00F039AA" w:rsidP="00C43F74">
            <w:pPr>
              <w:spacing w:before="0" w:after="0"/>
              <w:jc w:val="right"/>
              <w:rPr>
                <w:b/>
                <w:bCs/>
                <w:sz w:val="20"/>
              </w:rPr>
            </w:pPr>
          </w:p>
        </w:tc>
        <w:tc>
          <w:tcPr>
            <w:tcW w:w="1405" w:type="dxa"/>
          </w:tcPr>
          <w:p w14:paraId="0A8B57F6" w14:textId="7FCFDC2D" w:rsidR="00F039AA" w:rsidRPr="0021446C" w:rsidRDefault="00F039AA" w:rsidP="00C43F74">
            <w:pPr>
              <w:spacing w:before="0" w:after="0"/>
              <w:jc w:val="right"/>
              <w:rPr>
                <w:b/>
                <w:bCs/>
                <w:sz w:val="20"/>
              </w:rPr>
            </w:pPr>
          </w:p>
        </w:tc>
      </w:tr>
      <w:tr w:rsidR="00F039AA" w:rsidRPr="001E4B1A" w14:paraId="5CF2BC5C" w14:textId="77777777" w:rsidTr="00C43F74">
        <w:tc>
          <w:tcPr>
            <w:tcW w:w="3114" w:type="dxa"/>
          </w:tcPr>
          <w:p w14:paraId="6A640A48" w14:textId="2F4ECF93" w:rsidR="00F039AA" w:rsidRPr="001E4B1A" w:rsidRDefault="00C43F74" w:rsidP="00C43F74">
            <w:pPr>
              <w:spacing w:before="0" w:after="0"/>
              <w:rPr>
                <w:sz w:val="20"/>
              </w:rPr>
            </w:pPr>
            <w:r w:rsidRPr="00C43F74">
              <w:rPr>
                <w:sz w:val="20"/>
              </w:rPr>
              <w:t>Nouvelles obligations de mise hors</w:t>
            </w:r>
            <w:r>
              <w:rPr>
                <w:sz w:val="20"/>
              </w:rPr>
              <w:t xml:space="preserve"> </w:t>
            </w:r>
            <w:r w:rsidRPr="00C43F74">
              <w:rPr>
                <w:sz w:val="20"/>
              </w:rPr>
              <w:t>service</w:t>
            </w:r>
          </w:p>
        </w:tc>
        <w:tc>
          <w:tcPr>
            <w:tcW w:w="1134" w:type="dxa"/>
          </w:tcPr>
          <w:p w14:paraId="1AEB544F" w14:textId="77777777" w:rsidR="00F039AA" w:rsidRPr="001E4B1A" w:rsidRDefault="00F039AA" w:rsidP="00C43F74">
            <w:pPr>
              <w:spacing w:before="0" w:after="0"/>
              <w:jc w:val="right"/>
              <w:rPr>
                <w:sz w:val="20"/>
              </w:rPr>
            </w:pPr>
          </w:p>
        </w:tc>
        <w:tc>
          <w:tcPr>
            <w:tcW w:w="1559" w:type="dxa"/>
          </w:tcPr>
          <w:p w14:paraId="510E209B" w14:textId="77777777" w:rsidR="00F039AA" w:rsidRPr="001E4B1A" w:rsidRDefault="00F039AA" w:rsidP="00C43F74">
            <w:pPr>
              <w:spacing w:before="0" w:after="0"/>
              <w:jc w:val="right"/>
              <w:rPr>
                <w:sz w:val="20"/>
              </w:rPr>
            </w:pPr>
          </w:p>
        </w:tc>
        <w:tc>
          <w:tcPr>
            <w:tcW w:w="1418" w:type="dxa"/>
          </w:tcPr>
          <w:p w14:paraId="2605C635" w14:textId="77777777" w:rsidR="00F039AA" w:rsidRPr="001E4B1A" w:rsidRDefault="00F039AA" w:rsidP="00C43F74">
            <w:pPr>
              <w:spacing w:before="0" w:after="0"/>
              <w:jc w:val="right"/>
              <w:rPr>
                <w:sz w:val="20"/>
              </w:rPr>
            </w:pPr>
          </w:p>
        </w:tc>
        <w:tc>
          <w:tcPr>
            <w:tcW w:w="1405" w:type="dxa"/>
          </w:tcPr>
          <w:p w14:paraId="4691A84F" w14:textId="77777777" w:rsidR="00F039AA" w:rsidRPr="001E4B1A" w:rsidRDefault="00F039AA" w:rsidP="00C43F74">
            <w:pPr>
              <w:spacing w:before="0" w:after="0"/>
              <w:jc w:val="right"/>
              <w:rPr>
                <w:sz w:val="20"/>
              </w:rPr>
            </w:pPr>
          </w:p>
        </w:tc>
      </w:tr>
      <w:tr w:rsidR="00F039AA" w:rsidRPr="001E4B1A" w14:paraId="524B8110" w14:textId="77777777" w:rsidTr="00C43F74">
        <w:tc>
          <w:tcPr>
            <w:tcW w:w="3114" w:type="dxa"/>
          </w:tcPr>
          <w:p w14:paraId="6730F135" w14:textId="0D3533B9" w:rsidR="00F039AA" w:rsidRPr="001E4B1A" w:rsidRDefault="00C43F74" w:rsidP="00F039AA">
            <w:pPr>
              <w:spacing w:before="0" w:after="0"/>
              <w:rPr>
                <w:sz w:val="20"/>
              </w:rPr>
            </w:pPr>
            <w:r w:rsidRPr="00C43F74">
              <w:rPr>
                <w:sz w:val="20"/>
              </w:rPr>
              <w:t>Obligations réglées</w:t>
            </w:r>
          </w:p>
        </w:tc>
        <w:tc>
          <w:tcPr>
            <w:tcW w:w="1134" w:type="dxa"/>
          </w:tcPr>
          <w:p w14:paraId="5BA26BA6" w14:textId="77777777" w:rsidR="00F039AA" w:rsidRPr="001E4B1A" w:rsidRDefault="00F039AA" w:rsidP="00C43F74">
            <w:pPr>
              <w:spacing w:before="0" w:after="0"/>
              <w:jc w:val="right"/>
              <w:rPr>
                <w:sz w:val="20"/>
              </w:rPr>
            </w:pPr>
          </w:p>
        </w:tc>
        <w:tc>
          <w:tcPr>
            <w:tcW w:w="1559" w:type="dxa"/>
          </w:tcPr>
          <w:p w14:paraId="0108A0A4" w14:textId="77777777" w:rsidR="00F039AA" w:rsidRPr="001E4B1A" w:rsidRDefault="00F039AA" w:rsidP="00C43F74">
            <w:pPr>
              <w:spacing w:before="0" w:after="0"/>
              <w:jc w:val="right"/>
              <w:rPr>
                <w:sz w:val="20"/>
              </w:rPr>
            </w:pPr>
          </w:p>
        </w:tc>
        <w:tc>
          <w:tcPr>
            <w:tcW w:w="1418" w:type="dxa"/>
          </w:tcPr>
          <w:p w14:paraId="4307652E" w14:textId="77777777" w:rsidR="00F039AA" w:rsidRPr="001E4B1A" w:rsidRDefault="00F039AA" w:rsidP="00C43F74">
            <w:pPr>
              <w:spacing w:before="0" w:after="0"/>
              <w:jc w:val="right"/>
              <w:rPr>
                <w:sz w:val="20"/>
              </w:rPr>
            </w:pPr>
          </w:p>
        </w:tc>
        <w:tc>
          <w:tcPr>
            <w:tcW w:w="1405" w:type="dxa"/>
          </w:tcPr>
          <w:p w14:paraId="0DC178FF" w14:textId="77777777" w:rsidR="00F039AA" w:rsidRPr="001E4B1A" w:rsidRDefault="00F039AA" w:rsidP="00C43F74">
            <w:pPr>
              <w:spacing w:before="0" w:after="0"/>
              <w:jc w:val="right"/>
              <w:rPr>
                <w:sz w:val="20"/>
              </w:rPr>
            </w:pPr>
          </w:p>
        </w:tc>
      </w:tr>
      <w:tr w:rsidR="00C43F74" w:rsidRPr="001E4B1A" w14:paraId="12570D48" w14:textId="77777777" w:rsidTr="00C43F74">
        <w:tc>
          <w:tcPr>
            <w:tcW w:w="3114" w:type="dxa"/>
          </w:tcPr>
          <w:p w14:paraId="646BD155" w14:textId="77CED4DC" w:rsidR="00C43F74" w:rsidRPr="00C43F74" w:rsidRDefault="00C43F74" w:rsidP="00F039AA">
            <w:pPr>
              <w:spacing w:before="0" w:after="0"/>
              <w:rPr>
                <w:sz w:val="20"/>
              </w:rPr>
            </w:pPr>
            <w:r w:rsidRPr="00C43F74">
              <w:rPr>
                <w:sz w:val="20"/>
              </w:rPr>
              <w:t xml:space="preserve">Charge de </w:t>
            </w:r>
            <w:proofErr w:type="spellStart"/>
            <w:r w:rsidRPr="00C43F74">
              <w:rPr>
                <w:sz w:val="20"/>
              </w:rPr>
              <w:t>désactualisation</w:t>
            </w:r>
            <w:proofErr w:type="spellEnd"/>
          </w:p>
        </w:tc>
        <w:tc>
          <w:tcPr>
            <w:tcW w:w="1134" w:type="dxa"/>
          </w:tcPr>
          <w:p w14:paraId="174A9062" w14:textId="77777777" w:rsidR="00C43F74" w:rsidRPr="001E4B1A" w:rsidRDefault="00C43F74" w:rsidP="00C43F74">
            <w:pPr>
              <w:spacing w:before="0" w:after="0"/>
              <w:jc w:val="right"/>
              <w:rPr>
                <w:sz w:val="20"/>
              </w:rPr>
            </w:pPr>
          </w:p>
        </w:tc>
        <w:tc>
          <w:tcPr>
            <w:tcW w:w="1559" w:type="dxa"/>
          </w:tcPr>
          <w:p w14:paraId="2291C5A9" w14:textId="77777777" w:rsidR="00C43F74" w:rsidRPr="001E4B1A" w:rsidRDefault="00C43F74" w:rsidP="00C43F74">
            <w:pPr>
              <w:spacing w:before="0" w:after="0"/>
              <w:jc w:val="right"/>
              <w:rPr>
                <w:sz w:val="20"/>
              </w:rPr>
            </w:pPr>
          </w:p>
        </w:tc>
        <w:tc>
          <w:tcPr>
            <w:tcW w:w="1418" w:type="dxa"/>
          </w:tcPr>
          <w:p w14:paraId="4D58B7DD" w14:textId="77777777" w:rsidR="00C43F74" w:rsidRPr="001E4B1A" w:rsidRDefault="00C43F74" w:rsidP="00C43F74">
            <w:pPr>
              <w:spacing w:before="0" w:after="0"/>
              <w:jc w:val="right"/>
              <w:rPr>
                <w:sz w:val="20"/>
              </w:rPr>
            </w:pPr>
          </w:p>
        </w:tc>
        <w:tc>
          <w:tcPr>
            <w:tcW w:w="1405" w:type="dxa"/>
          </w:tcPr>
          <w:p w14:paraId="5F928076" w14:textId="77777777" w:rsidR="00C43F74" w:rsidRPr="001E4B1A" w:rsidRDefault="00C43F74" w:rsidP="00C43F74">
            <w:pPr>
              <w:spacing w:before="0" w:after="0"/>
              <w:jc w:val="right"/>
              <w:rPr>
                <w:sz w:val="20"/>
              </w:rPr>
            </w:pPr>
          </w:p>
        </w:tc>
      </w:tr>
      <w:tr w:rsidR="0021446C" w:rsidRPr="001E4B1A" w14:paraId="72F5D2A4" w14:textId="77777777" w:rsidTr="00C43F74">
        <w:tc>
          <w:tcPr>
            <w:tcW w:w="3114" w:type="dxa"/>
          </w:tcPr>
          <w:p w14:paraId="48671315" w14:textId="1911A12F" w:rsidR="0021446C" w:rsidRPr="00C43F74" w:rsidRDefault="0021446C" w:rsidP="00F039AA">
            <w:pPr>
              <w:spacing w:before="0" w:after="0"/>
              <w:rPr>
                <w:sz w:val="20"/>
              </w:rPr>
            </w:pPr>
            <w:r w:rsidRPr="0021446C">
              <w:rPr>
                <w:sz w:val="20"/>
              </w:rPr>
              <w:t>Révision des estimations</w:t>
            </w:r>
          </w:p>
        </w:tc>
        <w:tc>
          <w:tcPr>
            <w:tcW w:w="1134" w:type="dxa"/>
          </w:tcPr>
          <w:p w14:paraId="3553D8AF" w14:textId="77777777" w:rsidR="0021446C" w:rsidRPr="001E4B1A" w:rsidRDefault="0021446C" w:rsidP="00C43F74">
            <w:pPr>
              <w:spacing w:before="0" w:after="0"/>
              <w:jc w:val="right"/>
              <w:rPr>
                <w:sz w:val="20"/>
              </w:rPr>
            </w:pPr>
          </w:p>
        </w:tc>
        <w:tc>
          <w:tcPr>
            <w:tcW w:w="1559" w:type="dxa"/>
          </w:tcPr>
          <w:p w14:paraId="6CAC730F" w14:textId="77777777" w:rsidR="0021446C" w:rsidRPr="001E4B1A" w:rsidRDefault="0021446C" w:rsidP="00C43F74">
            <w:pPr>
              <w:spacing w:before="0" w:after="0"/>
              <w:jc w:val="right"/>
              <w:rPr>
                <w:sz w:val="20"/>
              </w:rPr>
            </w:pPr>
          </w:p>
        </w:tc>
        <w:tc>
          <w:tcPr>
            <w:tcW w:w="1418" w:type="dxa"/>
          </w:tcPr>
          <w:p w14:paraId="2EC6FD36" w14:textId="77777777" w:rsidR="0021446C" w:rsidRPr="001E4B1A" w:rsidRDefault="0021446C" w:rsidP="00C43F74">
            <w:pPr>
              <w:spacing w:before="0" w:after="0"/>
              <w:jc w:val="right"/>
              <w:rPr>
                <w:sz w:val="20"/>
              </w:rPr>
            </w:pPr>
          </w:p>
        </w:tc>
        <w:tc>
          <w:tcPr>
            <w:tcW w:w="1405" w:type="dxa"/>
          </w:tcPr>
          <w:p w14:paraId="22ECD6B6" w14:textId="77777777" w:rsidR="0021446C" w:rsidRPr="001E4B1A" w:rsidRDefault="0021446C" w:rsidP="00C43F74">
            <w:pPr>
              <w:spacing w:before="0" w:after="0"/>
              <w:jc w:val="right"/>
              <w:rPr>
                <w:sz w:val="20"/>
              </w:rPr>
            </w:pPr>
          </w:p>
        </w:tc>
      </w:tr>
      <w:tr w:rsidR="0021446C" w:rsidRPr="0021446C" w14:paraId="268EA3A4" w14:textId="77777777" w:rsidTr="00C43F74">
        <w:tc>
          <w:tcPr>
            <w:tcW w:w="3114" w:type="dxa"/>
          </w:tcPr>
          <w:p w14:paraId="3029732E" w14:textId="49B75066" w:rsidR="0021446C" w:rsidRPr="0021446C" w:rsidRDefault="0021446C" w:rsidP="00F039AA">
            <w:pPr>
              <w:spacing w:before="0" w:after="0"/>
              <w:rPr>
                <w:b/>
                <w:bCs/>
                <w:sz w:val="20"/>
              </w:rPr>
            </w:pPr>
            <w:r w:rsidRPr="0021446C">
              <w:rPr>
                <w:b/>
                <w:bCs/>
                <w:sz w:val="20"/>
              </w:rPr>
              <w:t xml:space="preserve">Solde à la fin  </w:t>
            </w:r>
          </w:p>
        </w:tc>
        <w:tc>
          <w:tcPr>
            <w:tcW w:w="1134" w:type="dxa"/>
          </w:tcPr>
          <w:p w14:paraId="41347CC9" w14:textId="77777777" w:rsidR="0021446C" w:rsidRPr="0021446C" w:rsidRDefault="0021446C" w:rsidP="00C43F74">
            <w:pPr>
              <w:spacing w:before="0" w:after="0"/>
              <w:jc w:val="right"/>
              <w:rPr>
                <w:b/>
                <w:bCs/>
                <w:sz w:val="20"/>
              </w:rPr>
            </w:pPr>
          </w:p>
        </w:tc>
        <w:tc>
          <w:tcPr>
            <w:tcW w:w="1559" w:type="dxa"/>
          </w:tcPr>
          <w:p w14:paraId="15A3F307" w14:textId="77777777" w:rsidR="0021446C" w:rsidRPr="0021446C" w:rsidRDefault="0021446C" w:rsidP="00C43F74">
            <w:pPr>
              <w:spacing w:before="0" w:after="0"/>
              <w:jc w:val="right"/>
              <w:rPr>
                <w:b/>
                <w:bCs/>
                <w:sz w:val="20"/>
              </w:rPr>
            </w:pPr>
          </w:p>
        </w:tc>
        <w:tc>
          <w:tcPr>
            <w:tcW w:w="1418" w:type="dxa"/>
          </w:tcPr>
          <w:p w14:paraId="4DAF1C5F" w14:textId="77777777" w:rsidR="0021446C" w:rsidRPr="0021446C" w:rsidRDefault="0021446C" w:rsidP="00C43F74">
            <w:pPr>
              <w:spacing w:before="0" w:after="0"/>
              <w:jc w:val="right"/>
              <w:rPr>
                <w:b/>
                <w:bCs/>
                <w:sz w:val="20"/>
              </w:rPr>
            </w:pPr>
          </w:p>
        </w:tc>
        <w:tc>
          <w:tcPr>
            <w:tcW w:w="1405" w:type="dxa"/>
          </w:tcPr>
          <w:p w14:paraId="51E057A1" w14:textId="77777777" w:rsidR="0021446C" w:rsidRPr="0021446C" w:rsidRDefault="0021446C" w:rsidP="00C43F74">
            <w:pPr>
              <w:spacing w:before="0" w:after="0"/>
              <w:jc w:val="right"/>
              <w:rPr>
                <w:b/>
                <w:bCs/>
                <w:sz w:val="20"/>
              </w:rPr>
            </w:pPr>
          </w:p>
        </w:tc>
      </w:tr>
    </w:tbl>
    <w:p w14:paraId="305D512F" w14:textId="77777777" w:rsidR="00653469" w:rsidRDefault="00653469" w:rsidP="000C7162">
      <w:pPr>
        <w:pStyle w:val="Titre4"/>
      </w:pPr>
      <w:r>
        <w:t>Principales hypothèses utilisées</w:t>
      </w:r>
    </w:p>
    <w:p w14:paraId="41865207" w14:textId="041203E5" w:rsidR="000C7162" w:rsidRDefault="00764F1B" w:rsidP="00653469">
      <w:r w:rsidRPr="00B07AB5">
        <w:rPr>
          <w:b/>
          <w:bCs/>
          <w:color w:val="FF0000"/>
        </w:rPr>
        <w:t>(SI APPLICABL</w:t>
      </w:r>
      <w:r w:rsidRPr="00764F1B">
        <w:rPr>
          <w:b/>
          <w:bCs/>
          <w:color w:val="FF0000"/>
        </w:rPr>
        <w:t>E)</w:t>
      </w:r>
      <w:r w:rsidRPr="00764F1B">
        <w:rPr>
          <w:color w:val="FF0000"/>
        </w:rPr>
        <w:t xml:space="preserve"> </w:t>
      </w:r>
      <w:r w:rsidR="00653469">
        <w:t>Le désamiantage des bâtiments dont l’échéancier des travaux est inconnu représente</w:t>
      </w:r>
      <w:r w:rsidR="00653469" w:rsidRPr="00764F1B">
        <w:rPr>
          <w:b/>
          <w:bCs/>
          <w:color w:val="FF0000"/>
        </w:rPr>
        <w:t xml:space="preserve"> </w:t>
      </w:r>
      <w:r w:rsidRPr="00764F1B">
        <w:rPr>
          <w:b/>
          <w:bCs/>
          <w:color w:val="FF0000"/>
        </w:rPr>
        <w:t>XX</w:t>
      </w:r>
      <w:r w:rsidR="00653469" w:rsidRPr="00764F1B">
        <w:rPr>
          <w:color w:val="FF0000"/>
        </w:rPr>
        <w:t xml:space="preserve"> </w:t>
      </w:r>
      <w:r w:rsidR="00653469">
        <w:t>% du passif total relatif aux</w:t>
      </w:r>
      <w:r w:rsidR="000C7162">
        <w:t xml:space="preserve"> </w:t>
      </w:r>
      <w:r w:rsidR="00653469">
        <w:t>obligations liées à la mise hors service d’immobilisations.</w:t>
      </w:r>
    </w:p>
    <w:p w14:paraId="1A02C85D" w14:textId="0606D532" w:rsidR="00653469" w:rsidRDefault="00653469" w:rsidP="00653469">
      <w:r>
        <w:t>Les principales hypothèses utilisées pour cette obligation</w:t>
      </w:r>
      <w:r w:rsidR="000C7162">
        <w:t xml:space="preserve"> </w:t>
      </w:r>
      <w:r>
        <w:t>sont les suivantes</w:t>
      </w:r>
      <w:r w:rsidR="00113E04">
        <w:t xml:space="preserve"> </w:t>
      </w:r>
      <w:r w:rsidR="00113E04" w:rsidRPr="00C11C96">
        <w:rPr>
          <w:b/>
          <w:bCs/>
          <w:color w:val="FF0000"/>
        </w:rPr>
        <w:t>[</w:t>
      </w:r>
      <w:r w:rsidR="0003711E" w:rsidRPr="00600AD9">
        <w:rPr>
          <w:b/>
          <w:color w:val="FF0000"/>
        </w:rPr>
        <w:t>exemple</w:t>
      </w:r>
      <w:r w:rsidR="00113E04" w:rsidRPr="00C11C96">
        <w:rPr>
          <w:b/>
          <w:bCs/>
          <w:color w:val="FF0000"/>
        </w:rPr>
        <w:t>]</w:t>
      </w:r>
      <w:r w:rsidRPr="00600AD9">
        <w:rPr>
          <w:color w:val="FF0000"/>
        </w:rPr>
        <w:t xml:space="preserve"> </w:t>
      </w:r>
      <w:r>
        <w:t>:</w:t>
      </w:r>
    </w:p>
    <w:tbl>
      <w:tblPr>
        <w:tblStyle w:val="Grilledutableau"/>
        <w:tblW w:w="0" w:type="auto"/>
        <w:tblLook w:val="04A0" w:firstRow="1" w:lastRow="0" w:firstColumn="1" w:lastColumn="0" w:noHBand="0" w:noVBand="1"/>
      </w:tblPr>
      <w:tblGrid>
        <w:gridCol w:w="4315"/>
        <w:gridCol w:w="4315"/>
      </w:tblGrid>
      <w:tr w:rsidR="006605E8" w:rsidRPr="006605E8" w14:paraId="1B3D04FB" w14:textId="77777777" w:rsidTr="006605E8">
        <w:tc>
          <w:tcPr>
            <w:tcW w:w="4315" w:type="dxa"/>
          </w:tcPr>
          <w:p w14:paraId="409094AE" w14:textId="6CA74898" w:rsidR="006605E8" w:rsidRPr="006605E8" w:rsidRDefault="0016106E" w:rsidP="006605E8">
            <w:pPr>
              <w:spacing w:before="0" w:after="0"/>
              <w:rPr>
                <w:sz w:val="20"/>
              </w:rPr>
            </w:pPr>
            <w:r w:rsidRPr="0016106E">
              <w:rPr>
                <w:sz w:val="20"/>
              </w:rPr>
              <w:t>Taux d’actualisation, incluant l’inflation</w:t>
            </w:r>
          </w:p>
        </w:tc>
        <w:tc>
          <w:tcPr>
            <w:tcW w:w="4315" w:type="dxa"/>
          </w:tcPr>
          <w:p w14:paraId="05A4B83F" w14:textId="79B17DD2" w:rsidR="006605E8" w:rsidRPr="00600AD9" w:rsidRDefault="00113E04" w:rsidP="0016106E">
            <w:pPr>
              <w:spacing w:before="0" w:after="0"/>
              <w:jc w:val="right"/>
              <w:rPr>
                <w:b/>
                <w:sz w:val="20"/>
              </w:rPr>
            </w:pPr>
            <w:r w:rsidRPr="00C11C96">
              <w:rPr>
                <w:b/>
                <w:bCs/>
                <w:color w:val="FF0000"/>
              </w:rPr>
              <w:t>[</w:t>
            </w:r>
            <w:r w:rsidR="0016106E" w:rsidRPr="00600AD9">
              <w:rPr>
                <w:b/>
                <w:color w:val="FF0000"/>
                <w:sz w:val="20"/>
              </w:rPr>
              <w:t>5,54 %</w:t>
            </w:r>
            <w:r w:rsidRPr="00C11C96">
              <w:rPr>
                <w:b/>
                <w:bCs/>
                <w:color w:val="FF0000"/>
              </w:rPr>
              <w:t>]</w:t>
            </w:r>
          </w:p>
        </w:tc>
      </w:tr>
      <w:tr w:rsidR="006605E8" w:rsidRPr="006605E8" w14:paraId="5B75D8BC" w14:textId="77777777" w:rsidTr="006605E8">
        <w:tc>
          <w:tcPr>
            <w:tcW w:w="4315" w:type="dxa"/>
          </w:tcPr>
          <w:p w14:paraId="0EF4DE96" w14:textId="14C9D140" w:rsidR="006605E8" w:rsidRPr="006605E8" w:rsidRDefault="0016106E" w:rsidP="006605E8">
            <w:pPr>
              <w:spacing w:before="0" w:after="0"/>
              <w:rPr>
                <w:sz w:val="20"/>
              </w:rPr>
            </w:pPr>
            <w:r w:rsidRPr="0016106E">
              <w:rPr>
                <w:sz w:val="20"/>
              </w:rPr>
              <w:t>Période d’actualisation*</w:t>
            </w:r>
          </w:p>
        </w:tc>
        <w:tc>
          <w:tcPr>
            <w:tcW w:w="4315" w:type="dxa"/>
          </w:tcPr>
          <w:p w14:paraId="630BEC51" w14:textId="2934C8D7" w:rsidR="006605E8" w:rsidRPr="00600AD9" w:rsidRDefault="00113E04" w:rsidP="0016106E">
            <w:pPr>
              <w:spacing w:before="0" w:after="0"/>
              <w:jc w:val="right"/>
              <w:rPr>
                <w:b/>
                <w:color w:val="FF0000"/>
                <w:sz w:val="20"/>
              </w:rPr>
            </w:pPr>
            <w:r w:rsidRPr="00C11C96">
              <w:rPr>
                <w:b/>
                <w:bCs/>
                <w:color w:val="FF0000"/>
              </w:rPr>
              <w:t>[</w:t>
            </w:r>
            <w:r w:rsidR="00734D6F" w:rsidRPr="00600AD9">
              <w:rPr>
                <w:b/>
                <w:color w:val="FF0000"/>
                <w:sz w:val="20"/>
              </w:rPr>
              <w:t>De 63</w:t>
            </w:r>
            <w:r w:rsidR="00900866" w:rsidRPr="00600AD9">
              <w:rPr>
                <w:b/>
                <w:color w:val="FF0000"/>
                <w:sz w:val="20"/>
              </w:rPr>
              <w:t> </w:t>
            </w:r>
            <w:r w:rsidR="00734D6F" w:rsidRPr="00600AD9">
              <w:rPr>
                <w:b/>
                <w:color w:val="FF0000"/>
                <w:sz w:val="20"/>
              </w:rPr>
              <w:t>ans à 125</w:t>
            </w:r>
            <w:r w:rsidR="00900866" w:rsidRPr="00600AD9">
              <w:rPr>
                <w:b/>
                <w:color w:val="FF0000"/>
                <w:sz w:val="20"/>
              </w:rPr>
              <w:t> </w:t>
            </w:r>
            <w:r w:rsidR="00734D6F" w:rsidRPr="00600AD9">
              <w:rPr>
                <w:b/>
                <w:color w:val="FF0000"/>
                <w:sz w:val="20"/>
              </w:rPr>
              <w:t>ans</w:t>
            </w:r>
            <w:r w:rsidRPr="00C11C96">
              <w:rPr>
                <w:b/>
                <w:bCs/>
                <w:color w:val="FF0000"/>
              </w:rPr>
              <w:t>]</w:t>
            </w:r>
          </w:p>
        </w:tc>
      </w:tr>
      <w:tr w:rsidR="006605E8" w:rsidRPr="006605E8" w14:paraId="64768F17" w14:textId="77777777" w:rsidTr="006605E8">
        <w:tc>
          <w:tcPr>
            <w:tcW w:w="4315" w:type="dxa"/>
          </w:tcPr>
          <w:p w14:paraId="5308810F" w14:textId="4E5B5223" w:rsidR="006605E8" w:rsidRPr="006605E8" w:rsidRDefault="00734D6F" w:rsidP="006605E8">
            <w:pPr>
              <w:spacing w:before="0" w:after="0"/>
              <w:rPr>
                <w:sz w:val="20"/>
              </w:rPr>
            </w:pPr>
            <w:r w:rsidRPr="00734D6F">
              <w:rPr>
                <w:sz w:val="20"/>
              </w:rPr>
              <w:t>Taux d’inflation</w:t>
            </w:r>
          </w:p>
        </w:tc>
        <w:tc>
          <w:tcPr>
            <w:tcW w:w="4315" w:type="dxa"/>
          </w:tcPr>
          <w:p w14:paraId="084BF159" w14:textId="6909BB24" w:rsidR="006605E8" w:rsidRPr="00600AD9" w:rsidRDefault="00113E04" w:rsidP="0016106E">
            <w:pPr>
              <w:spacing w:before="0" w:after="0"/>
              <w:jc w:val="right"/>
              <w:rPr>
                <w:b/>
                <w:color w:val="FF0000"/>
                <w:sz w:val="20"/>
              </w:rPr>
            </w:pPr>
            <w:r w:rsidRPr="00C11C96">
              <w:rPr>
                <w:b/>
                <w:bCs/>
                <w:color w:val="FF0000"/>
              </w:rPr>
              <w:t>[</w:t>
            </w:r>
            <w:r w:rsidR="00734D6F" w:rsidRPr="00600AD9">
              <w:rPr>
                <w:b/>
                <w:color w:val="FF0000"/>
                <w:sz w:val="20"/>
              </w:rPr>
              <w:t>2,93 %</w:t>
            </w:r>
            <w:r w:rsidRPr="00C11C96">
              <w:rPr>
                <w:b/>
                <w:bCs/>
                <w:color w:val="FF0000"/>
              </w:rPr>
              <w:t>]</w:t>
            </w:r>
          </w:p>
        </w:tc>
      </w:tr>
    </w:tbl>
    <w:p w14:paraId="11BE49A0" w14:textId="5F6AB709" w:rsidR="00653469" w:rsidRDefault="00734D6F" w:rsidP="00653469">
      <w:r>
        <w:t>*</w:t>
      </w:r>
      <w:r w:rsidR="00653469">
        <w:t xml:space="preserve"> La période d’actualisation présentée tient compte de la durée estimative des travaux de mise hors service qui</w:t>
      </w:r>
      <w:r w:rsidR="001437CD">
        <w:t xml:space="preserve"> </w:t>
      </w:r>
      <w:r w:rsidR="00653469">
        <w:t>s’échelonne en général sur une période d’un an.</w:t>
      </w:r>
    </w:p>
    <w:p w14:paraId="5DEBBC31" w14:textId="0B568753" w:rsidR="00653469" w:rsidRDefault="00653469" w:rsidP="00653469">
      <w:r>
        <w:t>Les coûts estimés avant actualisation pour réaliser les activités de mise hors service au 31</w:t>
      </w:r>
      <w:r w:rsidR="00CF5FBD">
        <w:t> </w:t>
      </w:r>
      <w:r w:rsidR="008E280C">
        <w:t>décembre</w:t>
      </w:r>
      <w:r>
        <w:t xml:space="preserve"> 2023 et inclus dans</w:t>
      </w:r>
      <w:r w:rsidR="001437CD">
        <w:t xml:space="preserve"> </w:t>
      </w:r>
      <w:r>
        <w:t xml:space="preserve">l’évaluation du passif s’élèvent à </w:t>
      </w:r>
      <w:r w:rsidR="008E280C" w:rsidRPr="008E280C">
        <w:rPr>
          <w:b/>
          <w:bCs/>
          <w:color w:val="FF0000"/>
        </w:rPr>
        <w:t>XX</w:t>
      </w:r>
      <w:r>
        <w:t xml:space="preserve"> $ (</w:t>
      </w:r>
      <w:r w:rsidR="008E280C" w:rsidRPr="008E280C">
        <w:rPr>
          <w:b/>
          <w:bCs/>
          <w:color w:val="FF0000"/>
        </w:rPr>
        <w:t>XX</w:t>
      </w:r>
      <w:r>
        <w:t xml:space="preserve"> $ au 31</w:t>
      </w:r>
      <w:r w:rsidR="00CF5FBD">
        <w:t> </w:t>
      </w:r>
      <w:r w:rsidR="00E40F4C">
        <w:t>décembre</w:t>
      </w:r>
      <w:r>
        <w:t xml:space="preserve"> 2022).</w:t>
      </w:r>
    </w:p>
    <w:p w14:paraId="0F99FD51" w14:textId="667BBEE7" w:rsidR="00653469" w:rsidRDefault="005E3112" w:rsidP="00653469">
      <w:r w:rsidRPr="00B07AB5">
        <w:rPr>
          <w:b/>
          <w:bCs/>
          <w:color w:val="FF0000"/>
        </w:rPr>
        <w:t>(SI APPLICABL</w:t>
      </w:r>
      <w:r w:rsidRPr="00764F1B">
        <w:rPr>
          <w:b/>
          <w:bCs/>
          <w:color w:val="FF0000"/>
        </w:rPr>
        <w:t>E)</w:t>
      </w:r>
      <w:r w:rsidRPr="00764F1B">
        <w:rPr>
          <w:color w:val="FF0000"/>
        </w:rPr>
        <w:t xml:space="preserve"> </w:t>
      </w:r>
      <w:r w:rsidR="00653469">
        <w:t xml:space="preserve">Une contribution financière de </w:t>
      </w:r>
      <w:r w:rsidRPr="005E3112">
        <w:rPr>
          <w:b/>
          <w:bCs/>
          <w:color w:val="FF0000"/>
        </w:rPr>
        <w:t>XX</w:t>
      </w:r>
      <w:r w:rsidR="002A785F">
        <w:t> </w:t>
      </w:r>
      <w:r w:rsidR="00653469">
        <w:t>$ a été octroyée à l’</w:t>
      </w:r>
      <w:r w:rsidR="002A785F">
        <w:t>organisme municipal</w:t>
      </w:r>
      <w:r w:rsidR="00653469">
        <w:t xml:space="preserve"> relativement à ses obligations liées à la</w:t>
      </w:r>
      <w:r w:rsidR="008E280C">
        <w:t xml:space="preserve"> </w:t>
      </w:r>
      <w:r w:rsidR="00653469">
        <w:t xml:space="preserve">mise hors service. De ce montant, une somme de </w:t>
      </w:r>
      <w:r w:rsidRPr="005E3112">
        <w:rPr>
          <w:b/>
          <w:bCs/>
          <w:color w:val="FF0000"/>
        </w:rPr>
        <w:t>XX</w:t>
      </w:r>
      <w:r w:rsidR="002A785F">
        <w:t> </w:t>
      </w:r>
      <w:r w:rsidR="00653469">
        <w:t>$ a été constatée dans les revenus. Le solde a été constaté</w:t>
      </w:r>
      <w:r w:rsidR="008E280C">
        <w:t xml:space="preserve"> </w:t>
      </w:r>
      <w:r w:rsidR="00653469">
        <w:t>dans les revenus reportés.</w:t>
      </w:r>
    </w:p>
    <w:p w14:paraId="201A984F" w14:textId="77777777" w:rsidR="001C4967" w:rsidRDefault="001C4967" w:rsidP="00415B40"/>
    <w:sectPr w:rsidR="001C4967">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9F3BB" w14:textId="77777777" w:rsidR="00A6224B" w:rsidRDefault="00A6224B" w:rsidP="00136DF1">
      <w:pPr>
        <w:spacing w:before="0" w:after="0"/>
      </w:pPr>
      <w:r>
        <w:separator/>
      </w:r>
    </w:p>
  </w:endnote>
  <w:endnote w:type="continuationSeparator" w:id="0">
    <w:p w14:paraId="1CB5592B" w14:textId="77777777" w:rsidR="00A6224B" w:rsidRDefault="00A6224B" w:rsidP="00136DF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66E4A" w14:textId="77777777" w:rsidR="005117F9" w:rsidRDefault="005117F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60F82" w14:textId="77777777" w:rsidR="005117F9" w:rsidRDefault="005117F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1816F" w14:textId="77777777" w:rsidR="005117F9" w:rsidRDefault="005117F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03D4A" w14:textId="77777777" w:rsidR="00A6224B" w:rsidRDefault="00A6224B" w:rsidP="00136DF1">
      <w:pPr>
        <w:spacing w:before="0" w:after="0"/>
      </w:pPr>
      <w:r>
        <w:separator/>
      </w:r>
    </w:p>
  </w:footnote>
  <w:footnote w:type="continuationSeparator" w:id="0">
    <w:p w14:paraId="5A3DAA39" w14:textId="77777777" w:rsidR="00A6224B" w:rsidRDefault="00A6224B" w:rsidP="00136DF1">
      <w:pPr>
        <w:spacing w:before="0" w:after="0"/>
      </w:pPr>
      <w:r>
        <w:continuationSeparator/>
      </w:r>
    </w:p>
  </w:footnote>
  <w:footnote w:id="1">
    <w:p w14:paraId="7D329C44" w14:textId="6AD9F1B6" w:rsidR="001338E3" w:rsidRDefault="001338E3">
      <w:pPr>
        <w:pStyle w:val="Notedebasdepage"/>
      </w:pPr>
      <w:r>
        <w:rPr>
          <w:rStyle w:val="Appelnotedebasdep"/>
        </w:rPr>
        <w:footnoteRef/>
      </w:r>
      <w:r>
        <w:t xml:space="preserve"> </w:t>
      </w:r>
      <w:r w:rsidR="00397DB1">
        <w:t>Les intervalles ne sont que des suggestions, il est important de personnaliser en fonction de la réalité de l’organisme municipal.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0E37E" w14:textId="77777777" w:rsidR="005117F9" w:rsidRDefault="005117F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E35DE" w14:textId="77777777" w:rsidR="005117F9" w:rsidRDefault="005117F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771E1" w14:textId="77777777" w:rsidR="005117F9" w:rsidRDefault="005117F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82F45"/>
    <w:multiLevelType w:val="hybridMultilevel"/>
    <w:tmpl w:val="7C82E9C2"/>
    <w:lvl w:ilvl="0" w:tplc="855EFACE">
      <w:start w:val="1"/>
      <w:numFmt w:val="decimal"/>
      <w:lvlText w:val="%1."/>
      <w:lvlJc w:val="left"/>
      <w:pPr>
        <w:ind w:left="502" w:hanging="360"/>
      </w:pPr>
      <w:rPr>
        <w:rFonts w:hint="default"/>
        <w:b/>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27645D23"/>
    <w:multiLevelType w:val="hybridMultilevel"/>
    <w:tmpl w:val="AD0E85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482B5C7A"/>
    <w:multiLevelType w:val="hybridMultilevel"/>
    <w:tmpl w:val="F08CB7A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70693E1E"/>
    <w:multiLevelType w:val="multilevel"/>
    <w:tmpl w:val="F1AA922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3556"/>
        </w:tabs>
        <w:ind w:left="3556" w:hanging="720"/>
      </w:pPr>
    </w:lvl>
    <w:lvl w:ilvl="3">
      <w:start w:val="1"/>
      <w:numFmt w:val="decimal"/>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num w:numId="1" w16cid:durableId="851802168">
    <w:abstractNumId w:val="3"/>
  </w:num>
  <w:num w:numId="2" w16cid:durableId="368916521">
    <w:abstractNumId w:val="2"/>
  </w:num>
  <w:num w:numId="3" w16cid:durableId="617369102">
    <w:abstractNumId w:val="0"/>
  </w:num>
  <w:num w:numId="4" w16cid:durableId="1520704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8A5"/>
    <w:rsid w:val="0002021D"/>
    <w:rsid w:val="0002568A"/>
    <w:rsid w:val="00033C97"/>
    <w:rsid w:val="00035ADC"/>
    <w:rsid w:val="0003711E"/>
    <w:rsid w:val="00055F6C"/>
    <w:rsid w:val="00056881"/>
    <w:rsid w:val="00094DA1"/>
    <w:rsid w:val="000A61F9"/>
    <w:rsid w:val="000B3DB1"/>
    <w:rsid w:val="000C1D42"/>
    <w:rsid w:val="000C7162"/>
    <w:rsid w:val="000D0F84"/>
    <w:rsid w:val="000E4935"/>
    <w:rsid w:val="00113C6B"/>
    <w:rsid w:val="00113E04"/>
    <w:rsid w:val="00115391"/>
    <w:rsid w:val="001338E3"/>
    <w:rsid w:val="0013542F"/>
    <w:rsid w:val="00136D9A"/>
    <w:rsid w:val="00136DF1"/>
    <w:rsid w:val="001437CD"/>
    <w:rsid w:val="0016106E"/>
    <w:rsid w:val="00167BD0"/>
    <w:rsid w:val="00173A2C"/>
    <w:rsid w:val="001917B8"/>
    <w:rsid w:val="001C13F6"/>
    <w:rsid w:val="001C3602"/>
    <w:rsid w:val="001C4967"/>
    <w:rsid w:val="001C6AED"/>
    <w:rsid w:val="001E4B1A"/>
    <w:rsid w:val="002013AB"/>
    <w:rsid w:val="002047DE"/>
    <w:rsid w:val="00206930"/>
    <w:rsid w:val="0021446C"/>
    <w:rsid w:val="002218FD"/>
    <w:rsid w:val="00243863"/>
    <w:rsid w:val="00256431"/>
    <w:rsid w:val="0026180C"/>
    <w:rsid w:val="0026357E"/>
    <w:rsid w:val="00265678"/>
    <w:rsid w:val="00296E48"/>
    <w:rsid w:val="002A785F"/>
    <w:rsid w:val="002B2A6C"/>
    <w:rsid w:val="0032364D"/>
    <w:rsid w:val="00330026"/>
    <w:rsid w:val="0033650A"/>
    <w:rsid w:val="0038548F"/>
    <w:rsid w:val="00397DB1"/>
    <w:rsid w:val="003A0574"/>
    <w:rsid w:val="003A3D81"/>
    <w:rsid w:val="003D634E"/>
    <w:rsid w:val="003F62C5"/>
    <w:rsid w:val="00403EB4"/>
    <w:rsid w:val="004062E6"/>
    <w:rsid w:val="00411743"/>
    <w:rsid w:val="00415B40"/>
    <w:rsid w:val="004279C8"/>
    <w:rsid w:val="00477983"/>
    <w:rsid w:val="004848CA"/>
    <w:rsid w:val="004A065C"/>
    <w:rsid w:val="004A3A5A"/>
    <w:rsid w:val="004B0C96"/>
    <w:rsid w:val="004B4777"/>
    <w:rsid w:val="004C5F61"/>
    <w:rsid w:val="004E6888"/>
    <w:rsid w:val="004E7EAE"/>
    <w:rsid w:val="004F4CC9"/>
    <w:rsid w:val="005117F9"/>
    <w:rsid w:val="0052205E"/>
    <w:rsid w:val="005557F1"/>
    <w:rsid w:val="005610A9"/>
    <w:rsid w:val="005658C7"/>
    <w:rsid w:val="005927E6"/>
    <w:rsid w:val="005C50C3"/>
    <w:rsid w:val="005D05F6"/>
    <w:rsid w:val="005E3112"/>
    <w:rsid w:val="005E7889"/>
    <w:rsid w:val="00600AD9"/>
    <w:rsid w:val="00605A56"/>
    <w:rsid w:val="0060749C"/>
    <w:rsid w:val="0061152F"/>
    <w:rsid w:val="00643EEE"/>
    <w:rsid w:val="00653469"/>
    <w:rsid w:val="00653727"/>
    <w:rsid w:val="006605E8"/>
    <w:rsid w:val="00675EB4"/>
    <w:rsid w:val="006841DF"/>
    <w:rsid w:val="006C6E3C"/>
    <w:rsid w:val="00700A4B"/>
    <w:rsid w:val="00704EEF"/>
    <w:rsid w:val="00717969"/>
    <w:rsid w:val="00734D6F"/>
    <w:rsid w:val="00752FA2"/>
    <w:rsid w:val="00763710"/>
    <w:rsid w:val="00764F1B"/>
    <w:rsid w:val="00785F3B"/>
    <w:rsid w:val="00792C03"/>
    <w:rsid w:val="0079416D"/>
    <w:rsid w:val="007A7BAA"/>
    <w:rsid w:val="007B15D7"/>
    <w:rsid w:val="007D6540"/>
    <w:rsid w:val="008208D8"/>
    <w:rsid w:val="00821043"/>
    <w:rsid w:val="00823984"/>
    <w:rsid w:val="0085284D"/>
    <w:rsid w:val="0086438C"/>
    <w:rsid w:val="00871BBE"/>
    <w:rsid w:val="008938DE"/>
    <w:rsid w:val="00894EF9"/>
    <w:rsid w:val="008B76D7"/>
    <w:rsid w:val="008C7199"/>
    <w:rsid w:val="008E280C"/>
    <w:rsid w:val="00900866"/>
    <w:rsid w:val="00904363"/>
    <w:rsid w:val="00906F74"/>
    <w:rsid w:val="0091386B"/>
    <w:rsid w:val="00916ED3"/>
    <w:rsid w:val="0093298D"/>
    <w:rsid w:val="00962979"/>
    <w:rsid w:val="00980702"/>
    <w:rsid w:val="00987B2F"/>
    <w:rsid w:val="009936A9"/>
    <w:rsid w:val="009A7435"/>
    <w:rsid w:val="009B1555"/>
    <w:rsid w:val="009C5DB5"/>
    <w:rsid w:val="009D0465"/>
    <w:rsid w:val="009D10B6"/>
    <w:rsid w:val="009D40E7"/>
    <w:rsid w:val="009D7F6C"/>
    <w:rsid w:val="009E1B58"/>
    <w:rsid w:val="00A0661A"/>
    <w:rsid w:val="00A14405"/>
    <w:rsid w:val="00A33528"/>
    <w:rsid w:val="00A46F1D"/>
    <w:rsid w:val="00A6224B"/>
    <w:rsid w:val="00A81348"/>
    <w:rsid w:val="00AC73A0"/>
    <w:rsid w:val="00AF4D31"/>
    <w:rsid w:val="00B00C65"/>
    <w:rsid w:val="00B07AB5"/>
    <w:rsid w:val="00B21E13"/>
    <w:rsid w:val="00B21F9A"/>
    <w:rsid w:val="00B31D22"/>
    <w:rsid w:val="00B46841"/>
    <w:rsid w:val="00B46CFB"/>
    <w:rsid w:val="00B478A5"/>
    <w:rsid w:val="00B76A08"/>
    <w:rsid w:val="00B771EE"/>
    <w:rsid w:val="00BA05A8"/>
    <w:rsid w:val="00BA54DA"/>
    <w:rsid w:val="00BD2DA7"/>
    <w:rsid w:val="00BE4EAB"/>
    <w:rsid w:val="00C0750D"/>
    <w:rsid w:val="00C11C96"/>
    <w:rsid w:val="00C17F84"/>
    <w:rsid w:val="00C43F74"/>
    <w:rsid w:val="00C70202"/>
    <w:rsid w:val="00C856B3"/>
    <w:rsid w:val="00CB6618"/>
    <w:rsid w:val="00CF5FBD"/>
    <w:rsid w:val="00D06C63"/>
    <w:rsid w:val="00D22C39"/>
    <w:rsid w:val="00D40AB2"/>
    <w:rsid w:val="00DD407C"/>
    <w:rsid w:val="00E11722"/>
    <w:rsid w:val="00E20217"/>
    <w:rsid w:val="00E263DF"/>
    <w:rsid w:val="00E3760D"/>
    <w:rsid w:val="00E40F4C"/>
    <w:rsid w:val="00E42FE6"/>
    <w:rsid w:val="00E61CED"/>
    <w:rsid w:val="00E675D9"/>
    <w:rsid w:val="00E75A89"/>
    <w:rsid w:val="00E84CB5"/>
    <w:rsid w:val="00EC2139"/>
    <w:rsid w:val="00EE79F0"/>
    <w:rsid w:val="00F023CA"/>
    <w:rsid w:val="00F039AA"/>
    <w:rsid w:val="00F05AC9"/>
    <w:rsid w:val="00F101E3"/>
    <w:rsid w:val="00F14B1B"/>
    <w:rsid w:val="00F24FC4"/>
    <w:rsid w:val="00F40E34"/>
    <w:rsid w:val="00F439FF"/>
    <w:rsid w:val="00F51605"/>
    <w:rsid w:val="00F61298"/>
    <w:rsid w:val="00F80FAC"/>
    <w:rsid w:val="00FA0CB1"/>
    <w:rsid w:val="00FE284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E1B9D"/>
  <w15:chartTrackingRefBased/>
  <w15:docId w15:val="{FE6D15E0-BB01-4D03-82A8-598F4AD06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B40"/>
    <w:pPr>
      <w:spacing w:before="120" w:after="120" w:line="240" w:lineRule="auto"/>
      <w:jc w:val="both"/>
    </w:pPr>
    <w:rPr>
      <w:rFonts w:ascii="Arial" w:eastAsia="Times New Roman" w:hAnsi="Arial" w:cs="Times New Roman"/>
      <w:szCs w:val="20"/>
      <w:lang w:eastAsia="fr-FR"/>
    </w:rPr>
  </w:style>
  <w:style w:type="paragraph" w:styleId="Titre1">
    <w:name w:val="heading 1"/>
    <w:basedOn w:val="Normal"/>
    <w:next w:val="Normal"/>
    <w:link w:val="Titre1Car"/>
    <w:qFormat/>
    <w:rsid w:val="000C1D42"/>
    <w:pPr>
      <w:spacing w:after="180"/>
      <w:outlineLvl w:val="0"/>
    </w:pPr>
    <w:rPr>
      <w:b/>
      <w:bCs/>
      <w:color w:val="002060"/>
      <w:sz w:val="28"/>
      <w:szCs w:val="28"/>
    </w:rPr>
  </w:style>
  <w:style w:type="paragraph" w:styleId="Titre2">
    <w:name w:val="heading 2"/>
    <w:basedOn w:val="Normal"/>
    <w:next w:val="Normal"/>
    <w:link w:val="Titre2Car"/>
    <w:qFormat/>
    <w:rsid w:val="000C1D42"/>
    <w:pPr>
      <w:spacing w:after="180"/>
      <w:outlineLvl w:val="1"/>
    </w:pPr>
    <w:rPr>
      <w:b/>
      <w:bCs/>
      <w:color w:val="767171" w:themeColor="background2" w:themeShade="80"/>
      <w:sz w:val="26"/>
      <w:szCs w:val="26"/>
    </w:rPr>
  </w:style>
  <w:style w:type="paragraph" w:styleId="Titre3">
    <w:name w:val="heading 3"/>
    <w:basedOn w:val="Normal"/>
    <w:next w:val="Normal"/>
    <w:link w:val="Titre3Car"/>
    <w:qFormat/>
    <w:rsid w:val="005658C7"/>
    <w:pPr>
      <w:outlineLvl w:val="2"/>
    </w:pPr>
    <w:rPr>
      <w:b/>
      <w:bCs/>
    </w:rPr>
  </w:style>
  <w:style w:type="paragraph" w:styleId="Titre4">
    <w:name w:val="heading 4"/>
    <w:basedOn w:val="Titre3"/>
    <w:next w:val="Normal"/>
    <w:link w:val="Titre4Car"/>
    <w:qFormat/>
    <w:rsid w:val="005658C7"/>
    <w:pPr>
      <w:spacing w:before="240" w:after="240"/>
      <w:outlineLvl w:val="3"/>
    </w:pPr>
    <w:rPr>
      <w:b w:val="0"/>
      <w:bCs w:val="0"/>
      <w:i/>
      <w:iCs/>
    </w:rPr>
  </w:style>
  <w:style w:type="paragraph" w:styleId="Titre5">
    <w:name w:val="heading 5"/>
    <w:basedOn w:val="Normal"/>
    <w:next w:val="Normal"/>
    <w:link w:val="Titre5Car"/>
    <w:qFormat/>
    <w:rsid w:val="00B478A5"/>
    <w:pPr>
      <w:numPr>
        <w:ilvl w:val="4"/>
        <w:numId w:val="1"/>
      </w:numPr>
      <w:spacing w:before="240" w:after="60"/>
      <w:outlineLvl w:val="4"/>
    </w:pPr>
    <w:rPr>
      <w:b/>
      <w:bCs/>
      <w:i/>
      <w:iCs/>
      <w:sz w:val="26"/>
      <w:szCs w:val="26"/>
    </w:rPr>
  </w:style>
  <w:style w:type="paragraph" w:styleId="Titre6">
    <w:name w:val="heading 6"/>
    <w:basedOn w:val="Normal"/>
    <w:next w:val="Normal"/>
    <w:link w:val="Titre6Car"/>
    <w:qFormat/>
    <w:rsid w:val="00B478A5"/>
    <w:pPr>
      <w:numPr>
        <w:ilvl w:val="5"/>
        <w:numId w:val="1"/>
      </w:numPr>
      <w:spacing w:before="240" w:after="60"/>
      <w:outlineLvl w:val="5"/>
    </w:pPr>
    <w:rPr>
      <w:rFonts w:ascii="Times New Roman" w:hAnsi="Times New Roman"/>
      <w:b/>
      <w:bCs/>
      <w:szCs w:val="22"/>
    </w:rPr>
  </w:style>
  <w:style w:type="paragraph" w:styleId="Titre7">
    <w:name w:val="heading 7"/>
    <w:basedOn w:val="Normal"/>
    <w:next w:val="Normal"/>
    <w:link w:val="Titre7Car"/>
    <w:qFormat/>
    <w:rsid w:val="00B478A5"/>
    <w:pPr>
      <w:numPr>
        <w:ilvl w:val="6"/>
        <w:numId w:val="1"/>
      </w:numPr>
      <w:spacing w:before="240" w:after="60"/>
      <w:outlineLvl w:val="6"/>
    </w:pPr>
    <w:rPr>
      <w:rFonts w:ascii="Times New Roman" w:hAnsi="Times New Roman"/>
      <w:sz w:val="24"/>
      <w:szCs w:val="24"/>
    </w:rPr>
  </w:style>
  <w:style w:type="paragraph" w:styleId="Titre8">
    <w:name w:val="heading 8"/>
    <w:basedOn w:val="Normal"/>
    <w:next w:val="Normal"/>
    <w:link w:val="Titre8Car"/>
    <w:qFormat/>
    <w:rsid w:val="00B478A5"/>
    <w:pPr>
      <w:numPr>
        <w:ilvl w:val="7"/>
        <w:numId w:val="1"/>
      </w:numPr>
      <w:spacing w:before="240" w:after="60"/>
      <w:outlineLvl w:val="7"/>
    </w:pPr>
    <w:rPr>
      <w:rFonts w:ascii="Times New Roman" w:hAnsi="Times New Roman"/>
      <w:i/>
      <w:iCs/>
      <w:sz w:val="24"/>
      <w:szCs w:val="24"/>
    </w:rPr>
  </w:style>
  <w:style w:type="paragraph" w:styleId="Titre9">
    <w:name w:val="heading 9"/>
    <w:basedOn w:val="Normal"/>
    <w:next w:val="Normal"/>
    <w:link w:val="Titre9Car"/>
    <w:qFormat/>
    <w:rsid w:val="00B478A5"/>
    <w:pPr>
      <w:numPr>
        <w:ilvl w:val="8"/>
        <w:numId w:val="1"/>
      </w:numPr>
      <w:spacing w:before="240" w:after="60"/>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C1D42"/>
    <w:rPr>
      <w:rFonts w:ascii="Arial" w:eastAsia="Times New Roman" w:hAnsi="Arial" w:cs="Times New Roman"/>
      <w:b/>
      <w:bCs/>
      <w:color w:val="002060"/>
      <w:sz w:val="28"/>
      <w:szCs w:val="28"/>
      <w:lang w:eastAsia="fr-FR"/>
    </w:rPr>
  </w:style>
  <w:style w:type="character" w:customStyle="1" w:styleId="Titre2Car">
    <w:name w:val="Titre 2 Car"/>
    <w:basedOn w:val="Policepardfaut"/>
    <w:link w:val="Titre2"/>
    <w:rsid w:val="000C1D42"/>
    <w:rPr>
      <w:rFonts w:ascii="Arial" w:eastAsia="Times New Roman" w:hAnsi="Arial" w:cs="Times New Roman"/>
      <w:b/>
      <w:bCs/>
      <w:color w:val="767171" w:themeColor="background2" w:themeShade="80"/>
      <w:sz w:val="26"/>
      <w:szCs w:val="26"/>
      <w:lang w:eastAsia="fr-FR"/>
    </w:rPr>
  </w:style>
  <w:style w:type="character" w:customStyle="1" w:styleId="Titre3Car">
    <w:name w:val="Titre 3 Car"/>
    <w:basedOn w:val="Policepardfaut"/>
    <w:link w:val="Titre3"/>
    <w:rsid w:val="005658C7"/>
    <w:rPr>
      <w:rFonts w:ascii="Arial" w:eastAsia="Times New Roman" w:hAnsi="Arial" w:cs="Times New Roman"/>
      <w:b/>
      <w:bCs/>
      <w:szCs w:val="20"/>
      <w:lang w:eastAsia="fr-FR"/>
    </w:rPr>
  </w:style>
  <w:style w:type="character" w:customStyle="1" w:styleId="Titre4Car">
    <w:name w:val="Titre 4 Car"/>
    <w:basedOn w:val="Policepardfaut"/>
    <w:link w:val="Titre4"/>
    <w:rsid w:val="005658C7"/>
    <w:rPr>
      <w:rFonts w:ascii="Arial" w:eastAsia="Times New Roman" w:hAnsi="Arial" w:cs="Times New Roman"/>
      <w:i/>
      <w:iCs/>
      <w:szCs w:val="20"/>
      <w:lang w:eastAsia="fr-FR"/>
    </w:rPr>
  </w:style>
  <w:style w:type="character" w:customStyle="1" w:styleId="Titre5Car">
    <w:name w:val="Titre 5 Car"/>
    <w:basedOn w:val="Policepardfaut"/>
    <w:link w:val="Titre5"/>
    <w:rsid w:val="00B478A5"/>
    <w:rPr>
      <w:rFonts w:ascii="Arial" w:eastAsia="Times New Roman" w:hAnsi="Arial" w:cs="Times New Roman"/>
      <w:b/>
      <w:bCs/>
      <w:i/>
      <w:iCs/>
      <w:sz w:val="26"/>
      <w:szCs w:val="26"/>
      <w:lang w:eastAsia="fr-FR"/>
    </w:rPr>
  </w:style>
  <w:style w:type="character" w:customStyle="1" w:styleId="Titre6Car">
    <w:name w:val="Titre 6 Car"/>
    <w:basedOn w:val="Policepardfaut"/>
    <w:link w:val="Titre6"/>
    <w:rsid w:val="00B478A5"/>
    <w:rPr>
      <w:rFonts w:ascii="Times New Roman" w:eastAsia="Times New Roman" w:hAnsi="Times New Roman" w:cs="Times New Roman"/>
      <w:b/>
      <w:bCs/>
      <w:lang w:eastAsia="fr-FR"/>
    </w:rPr>
  </w:style>
  <w:style w:type="character" w:customStyle="1" w:styleId="Titre7Car">
    <w:name w:val="Titre 7 Car"/>
    <w:basedOn w:val="Policepardfaut"/>
    <w:link w:val="Titre7"/>
    <w:rsid w:val="00B478A5"/>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rsid w:val="00B478A5"/>
    <w:rPr>
      <w:rFonts w:ascii="Times New Roman" w:eastAsia="Times New Roman" w:hAnsi="Times New Roman" w:cs="Times New Roman"/>
      <w:i/>
      <w:iCs/>
      <w:sz w:val="24"/>
      <w:szCs w:val="24"/>
      <w:lang w:eastAsia="fr-FR"/>
    </w:rPr>
  </w:style>
  <w:style w:type="character" w:customStyle="1" w:styleId="Titre9Car">
    <w:name w:val="Titre 9 Car"/>
    <w:basedOn w:val="Policepardfaut"/>
    <w:link w:val="Titre9"/>
    <w:rsid w:val="00B478A5"/>
    <w:rPr>
      <w:rFonts w:ascii="Arial" w:eastAsia="Times New Roman" w:hAnsi="Arial" w:cs="Arial"/>
      <w:lang w:eastAsia="fr-FR"/>
    </w:rPr>
  </w:style>
  <w:style w:type="paragraph" w:customStyle="1" w:styleId="Texteprincipal">
    <w:name w:val="Texte principal"/>
    <w:basedOn w:val="Normal"/>
    <w:rsid w:val="00B478A5"/>
    <w:pPr>
      <w:spacing w:after="240"/>
    </w:pPr>
    <w:rPr>
      <w:rFonts w:ascii="Arial (W1)" w:hAnsi="Arial (W1)" w:cs="Arial (W1)"/>
      <w:sz w:val="24"/>
      <w:szCs w:val="24"/>
    </w:rPr>
  </w:style>
  <w:style w:type="paragraph" w:customStyle="1" w:styleId="Normaltableau">
    <w:name w:val="Normal tableau"/>
    <w:basedOn w:val="Normal"/>
    <w:rsid w:val="00B478A5"/>
    <w:pPr>
      <w:spacing w:before="40" w:after="40"/>
      <w:jc w:val="left"/>
    </w:pPr>
    <w:rPr>
      <w:rFonts w:cs="Arial"/>
      <w:sz w:val="20"/>
    </w:rPr>
  </w:style>
  <w:style w:type="paragraph" w:customStyle="1" w:styleId="chiffrestableau">
    <w:name w:val="chiffres tableau"/>
    <w:basedOn w:val="Normaltableau"/>
    <w:rsid w:val="00B478A5"/>
    <w:pPr>
      <w:jc w:val="right"/>
    </w:pPr>
  </w:style>
  <w:style w:type="paragraph" w:styleId="Paragraphedeliste">
    <w:name w:val="List Paragraph"/>
    <w:basedOn w:val="Normal"/>
    <w:uiPriority w:val="34"/>
    <w:qFormat/>
    <w:rsid w:val="00B478A5"/>
    <w:pPr>
      <w:ind w:left="708"/>
    </w:pPr>
  </w:style>
  <w:style w:type="paragraph" w:customStyle="1" w:styleId="paragraphtext">
    <w:name w:val="paragraphtext"/>
    <w:basedOn w:val="Normal"/>
    <w:rsid w:val="00B478A5"/>
    <w:pPr>
      <w:spacing w:before="65" w:after="65"/>
      <w:ind w:left="785" w:hanging="413"/>
      <w:jc w:val="left"/>
    </w:pPr>
    <w:rPr>
      <w:rFonts w:ascii="Times New Roman" w:hAnsi="Times New Roman"/>
    </w:rPr>
  </w:style>
  <w:style w:type="paragraph" w:styleId="Rvision">
    <w:name w:val="Revision"/>
    <w:hidden/>
    <w:uiPriority w:val="99"/>
    <w:semiHidden/>
    <w:rsid w:val="00B478A5"/>
    <w:pPr>
      <w:spacing w:after="0" w:line="240" w:lineRule="auto"/>
    </w:pPr>
    <w:rPr>
      <w:rFonts w:ascii="Arial" w:eastAsia="Times New Roman" w:hAnsi="Arial" w:cs="Times New Roman"/>
      <w:szCs w:val="20"/>
      <w:lang w:eastAsia="fr-FR"/>
    </w:rPr>
  </w:style>
  <w:style w:type="character" w:styleId="Marquedecommentaire">
    <w:name w:val="annotation reference"/>
    <w:basedOn w:val="Policepardfaut"/>
    <w:uiPriority w:val="99"/>
    <w:semiHidden/>
    <w:unhideWhenUsed/>
    <w:rsid w:val="002B2A6C"/>
    <w:rPr>
      <w:sz w:val="16"/>
      <w:szCs w:val="16"/>
    </w:rPr>
  </w:style>
  <w:style w:type="paragraph" w:styleId="Commentaire">
    <w:name w:val="annotation text"/>
    <w:basedOn w:val="Normal"/>
    <w:link w:val="CommentaireCar"/>
    <w:uiPriority w:val="99"/>
    <w:unhideWhenUsed/>
    <w:rsid w:val="002B2A6C"/>
    <w:rPr>
      <w:sz w:val="20"/>
    </w:rPr>
  </w:style>
  <w:style w:type="character" w:customStyle="1" w:styleId="CommentaireCar">
    <w:name w:val="Commentaire Car"/>
    <w:basedOn w:val="Policepardfaut"/>
    <w:link w:val="Commentaire"/>
    <w:uiPriority w:val="99"/>
    <w:rsid w:val="002B2A6C"/>
    <w:rPr>
      <w:rFonts w:ascii="Arial" w:eastAsia="Times New Roman" w:hAnsi="Arial"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B2A6C"/>
    <w:rPr>
      <w:b/>
      <w:bCs/>
    </w:rPr>
  </w:style>
  <w:style w:type="character" w:customStyle="1" w:styleId="ObjetducommentaireCar">
    <w:name w:val="Objet du commentaire Car"/>
    <w:basedOn w:val="CommentaireCar"/>
    <w:link w:val="Objetducommentaire"/>
    <w:uiPriority w:val="99"/>
    <w:semiHidden/>
    <w:rsid w:val="002B2A6C"/>
    <w:rPr>
      <w:rFonts w:ascii="Arial" w:eastAsia="Times New Roman" w:hAnsi="Arial" w:cs="Times New Roman"/>
      <w:b/>
      <w:bCs/>
      <w:sz w:val="20"/>
      <w:szCs w:val="20"/>
      <w:lang w:eastAsia="fr-FR"/>
    </w:rPr>
  </w:style>
  <w:style w:type="table" w:styleId="Grilledutableau">
    <w:name w:val="Table Grid"/>
    <w:basedOn w:val="TableauNormal"/>
    <w:uiPriority w:val="39"/>
    <w:rsid w:val="001E4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36DF1"/>
    <w:pPr>
      <w:tabs>
        <w:tab w:val="center" w:pos="4320"/>
        <w:tab w:val="right" w:pos="8640"/>
      </w:tabs>
      <w:spacing w:before="0" w:after="0"/>
    </w:pPr>
  </w:style>
  <w:style w:type="character" w:customStyle="1" w:styleId="En-tteCar">
    <w:name w:val="En-tête Car"/>
    <w:basedOn w:val="Policepardfaut"/>
    <w:link w:val="En-tte"/>
    <w:uiPriority w:val="99"/>
    <w:rsid w:val="00136DF1"/>
    <w:rPr>
      <w:rFonts w:ascii="Arial" w:eastAsia="Times New Roman" w:hAnsi="Arial" w:cs="Times New Roman"/>
      <w:szCs w:val="20"/>
      <w:lang w:eastAsia="fr-FR"/>
    </w:rPr>
  </w:style>
  <w:style w:type="paragraph" w:styleId="Pieddepage">
    <w:name w:val="footer"/>
    <w:basedOn w:val="Normal"/>
    <w:link w:val="PieddepageCar"/>
    <w:uiPriority w:val="99"/>
    <w:unhideWhenUsed/>
    <w:rsid w:val="00136DF1"/>
    <w:pPr>
      <w:tabs>
        <w:tab w:val="center" w:pos="4320"/>
        <w:tab w:val="right" w:pos="8640"/>
      </w:tabs>
      <w:spacing w:before="0" w:after="0"/>
    </w:pPr>
  </w:style>
  <w:style w:type="character" w:customStyle="1" w:styleId="PieddepageCar">
    <w:name w:val="Pied de page Car"/>
    <w:basedOn w:val="Policepardfaut"/>
    <w:link w:val="Pieddepage"/>
    <w:uiPriority w:val="99"/>
    <w:rsid w:val="00136DF1"/>
    <w:rPr>
      <w:rFonts w:ascii="Arial" w:eastAsia="Times New Roman" w:hAnsi="Arial" w:cs="Times New Roman"/>
      <w:szCs w:val="20"/>
      <w:lang w:eastAsia="fr-FR"/>
    </w:rPr>
  </w:style>
  <w:style w:type="paragraph" w:styleId="Textedebulles">
    <w:name w:val="Balloon Text"/>
    <w:basedOn w:val="Normal"/>
    <w:link w:val="TextedebullesCar"/>
    <w:uiPriority w:val="99"/>
    <w:semiHidden/>
    <w:unhideWhenUsed/>
    <w:rsid w:val="004A3A5A"/>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A3A5A"/>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1338E3"/>
    <w:pPr>
      <w:spacing w:before="0" w:after="0"/>
    </w:pPr>
    <w:rPr>
      <w:sz w:val="20"/>
    </w:rPr>
  </w:style>
  <w:style w:type="character" w:customStyle="1" w:styleId="NotedebasdepageCar">
    <w:name w:val="Note de bas de page Car"/>
    <w:basedOn w:val="Policepardfaut"/>
    <w:link w:val="Notedebasdepage"/>
    <w:uiPriority w:val="99"/>
    <w:semiHidden/>
    <w:rsid w:val="001338E3"/>
    <w:rPr>
      <w:rFonts w:ascii="Arial" w:eastAsia="Times New Roman" w:hAnsi="Arial" w:cs="Times New Roman"/>
      <w:sz w:val="20"/>
      <w:szCs w:val="20"/>
      <w:lang w:eastAsia="fr-FR"/>
    </w:rPr>
  </w:style>
  <w:style w:type="character" w:styleId="Appelnotedebasdep">
    <w:name w:val="footnote reference"/>
    <w:basedOn w:val="Policepardfaut"/>
    <w:uiPriority w:val="99"/>
    <w:semiHidden/>
    <w:unhideWhenUsed/>
    <w:rsid w:val="001338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fdf8b2-3fae-43c8-8e8a-d3089e6fcf58">
      <Terms xmlns="http://schemas.microsoft.com/office/infopath/2007/PartnerControls"/>
    </lcf76f155ced4ddcb4097134ff3c332f>
    <TaxCatchAll xmlns="3fcb4726-fb74-4e9c-8175-d91bf70e90c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B1971FEBE41B4AAEEB341565326F01" ma:contentTypeVersion="13" ma:contentTypeDescription="Crée un document." ma:contentTypeScope="" ma:versionID="997bdeb0eef01d776dc677560163c86f">
  <xsd:schema xmlns:xsd="http://www.w3.org/2001/XMLSchema" xmlns:xs="http://www.w3.org/2001/XMLSchema" xmlns:p="http://schemas.microsoft.com/office/2006/metadata/properties" xmlns:ns2="43fdf8b2-3fae-43c8-8e8a-d3089e6fcf58" xmlns:ns3="3fcb4726-fb74-4e9c-8175-d91bf70e90c7" targetNamespace="http://schemas.microsoft.com/office/2006/metadata/properties" ma:root="true" ma:fieldsID="91b009259db0b219a72f927ed0bb7622" ns2:_="" ns3:_="">
    <xsd:import namespace="43fdf8b2-3fae-43c8-8e8a-d3089e6fcf58"/>
    <xsd:import namespace="3fcb4726-fb74-4e9c-8175-d91bf70e90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df8b2-3fae-43c8-8e8a-d3089e6fc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36f3f88e-c030-47d0-abcc-853cdf95d71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cb4726-fb74-4e9c-8175-d91bf70e90c7"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60e4b9cc-30ba-45e5-922b-bc9beb49c765}" ma:internalName="TaxCatchAll" ma:showField="CatchAllData" ma:web="3fcb4726-fb74-4e9c-8175-d91bf70e90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5711F-1F45-4513-9842-FA8FEC3519A2}">
  <ds:schemaRefs>
    <ds:schemaRef ds:uri="e1f9ea65-848c-48cc-a7ca-ebf614049f4b"/>
    <ds:schemaRef ds:uri="http://purl.org/dc/elements/1.1/"/>
    <ds:schemaRef ds:uri="http://schemas.microsoft.com/office/2006/metadata/properties"/>
    <ds:schemaRef ds:uri="752bd132-cdf9-4738-ad5d-e64418ac62da"/>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4FDAAE3D-6117-43D6-89DD-25A033A9B5DF}"/>
</file>

<file path=customXml/itemProps3.xml><?xml version="1.0" encoding="utf-8"?>
<ds:datastoreItem xmlns:ds="http://schemas.openxmlformats.org/officeDocument/2006/customXml" ds:itemID="{E5FE5A42-2351-43C2-963E-0F40F98C3897}">
  <ds:schemaRefs>
    <ds:schemaRef ds:uri="http://schemas.microsoft.com/sharepoint/v3/contenttype/forms"/>
  </ds:schemaRefs>
</ds:datastoreItem>
</file>

<file path=customXml/itemProps4.xml><?xml version="1.0" encoding="utf-8"?>
<ds:datastoreItem xmlns:ds="http://schemas.openxmlformats.org/officeDocument/2006/customXml" ds:itemID="{4B786306-D528-4769-B9AB-4B541F70E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4123</Words>
  <Characters>22678</Characters>
  <Application>Microsoft Office Word</Application>
  <DocSecurity>0</DocSecurity>
  <Lines>188</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Fortin, Anne-Marie (VG-DIR)</dc:creator>
  <cp:keywords/>
  <dc:description/>
  <cp:lastModifiedBy>Fortin, Anne-Marie (VG-DIR)</cp:lastModifiedBy>
  <cp:revision>3</cp:revision>
  <dcterms:created xsi:type="dcterms:W3CDTF">2023-12-19T15:00:00Z</dcterms:created>
  <dcterms:modified xsi:type="dcterms:W3CDTF">2023-12-19T15:05:00Z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0x010100D7B1971FEBE41B4AAEEB341565326F01</vt:lpwstr>
  </property>
</Properties>
</file>