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AB80" w14:textId="77777777" w:rsidR="00EA4DFE" w:rsidRPr="00A10C5A" w:rsidRDefault="00F12FD5" w:rsidP="00EA4DFE">
      <w:pPr>
        <w:rPr>
          <w:b/>
          <w:bCs/>
          <w:color w:val="3A7C22" w:themeColor="accent6" w:themeShade="BF"/>
          <w:sz w:val="40"/>
          <w:szCs w:val="40"/>
        </w:rPr>
      </w:pPr>
      <w:bookmarkStart w:id="0" w:name="OLE_LINK3"/>
      <w:r w:rsidRPr="00A10C5A">
        <w:rPr>
          <w:b/>
          <w:bCs/>
          <w:color w:val="3A7C22" w:themeColor="accent6" w:themeShade="BF"/>
          <w:sz w:val="40"/>
          <w:szCs w:val="40"/>
        </w:rPr>
        <w:t>Entités du réseau des services de garde à l’enfance</w:t>
      </w:r>
      <w:r w:rsidR="00EA4DFE" w:rsidRPr="00A10C5A">
        <w:rPr>
          <w:b/>
          <w:bCs/>
          <w:color w:val="3A7C22" w:themeColor="accent6" w:themeShade="BF"/>
          <w:sz w:val="40"/>
          <w:szCs w:val="40"/>
        </w:rPr>
        <w:t xml:space="preserve"> </w:t>
      </w:r>
    </w:p>
    <w:p w14:paraId="2016230D" w14:textId="651DCCF6" w:rsidR="007F1ECA" w:rsidRDefault="005B5C02" w:rsidP="00380CB1">
      <w:r w:rsidRPr="00A10C5A">
        <w:rPr>
          <w:b/>
          <w:bCs/>
          <w:color w:val="3A7C22" w:themeColor="accent6" w:themeShade="BF"/>
          <w:sz w:val="40"/>
          <w:szCs w:val="40"/>
        </w:rPr>
        <w:t xml:space="preserve">Rapports </w:t>
      </w:r>
      <w:r w:rsidR="00E57141" w:rsidRPr="00A10C5A">
        <w:rPr>
          <w:b/>
          <w:bCs/>
          <w:color w:val="3A7C22" w:themeColor="accent6" w:themeShade="BF"/>
          <w:sz w:val="40"/>
          <w:szCs w:val="40"/>
        </w:rPr>
        <w:t>du professionnel en exercice</w:t>
      </w:r>
    </w:p>
    <w:sdt>
      <w:sdtPr>
        <w:rPr>
          <w:rFonts w:asciiTheme="minorHAnsi" w:eastAsiaTheme="minorEastAsia" w:hAnsiTheme="minorHAnsi" w:cstheme="minorBidi"/>
          <w:color w:val="auto"/>
          <w:sz w:val="21"/>
          <w:szCs w:val="21"/>
        </w:rPr>
        <w:id w:val="2113850752"/>
        <w:docPartObj>
          <w:docPartGallery w:val="Table of Contents"/>
          <w:docPartUnique/>
        </w:docPartObj>
      </w:sdtPr>
      <w:sdtEndPr>
        <w:rPr>
          <w:b/>
          <w:bCs/>
        </w:rPr>
      </w:sdtEndPr>
      <w:sdtContent>
        <w:p w14:paraId="5A4492AE" w14:textId="6649F9C2" w:rsidR="007F1ECA" w:rsidRDefault="007F1ECA">
          <w:pPr>
            <w:pStyle w:val="En-ttedetabledesmatires"/>
          </w:pPr>
          <w:r>
            <w:t>Table des matières</w:t>
          </w:r>
        </w:p>
        <w:p w14:paraId="364EBC08" w14:textId="3C07F98C" w:rsidR="00277A90" w:rsidRDefault="005F1488">
          <w:pPr>
            <w:pStyle w:val="TM1"/>
            <w:tabs>
              <w:tab w:val="right" w:leader="dot" w:pos="10076"/>
            </w:tabs>
            <w:rPr>
              <w:noProof/>
              <w:color w:val="auto"/>
              <w:kern w:val="2"/>
              <w:sz w:val="24"/>
              <w:szCs w:val="24"/>
              <w:lang w:eastAsia="fr-CA"/>
              <w14:ligatures w14:val="standardContextual"/>
            </w:rPr>
          </w:pPr>
          <w:r>
            <w:fldChar w:fldCharType="begin"/>
          </w:r>
          <w:r>
            <w:instrText xml:space="preserve"> TOC \o "1-2" \h \z \u </w:instrText>
          </w:r>
          <w:r>
            <w:fldChar w:fldCharType="separate"/>
          </w:r>
          <w:hyperlink w:anchor="_Toc228878213" w:history="1">
            <w:r w:rsidR="00277A90" w:rsidRPr="00D84979">
              <w:rPr>
                <w:rStyle w:val="Lienhypertexte"/>
                <w:b/>
                <w:bCs/>
                <w:noProof/>
              </w:rPr>
              <w:t>Contexte – Nombre de places au permis, nombre d’installations et rapport financier annuel (RFA) à produire</w:t>
            </w:r>
            <w:r w:rsidR="00277A90">
              <w:rPr>
                <w:noProof/>
                <w:webHidden/>
              </w:rPr>
              <w:tab/>
            </w:r>
            <w:r w:rsidR="00277A90">
              <w:rPr>
                <w:noProof/>
                <w:webHidden/>
              </w:rPr>
              <w:fldChar w:fldCharType="begin"/>
            </w:r>
            <w:r w:rsidR="00277A90">
              <w:rPr>
                <w:noProof/>
                <w:webHidden/>
              </w:rPr>
              <w:instrText xml:space="preserve"> PAGEREF _Toc228878213 \h </w:instrText>
            </w:r>
            <w:r w:rsidR="00277A90">
              <w:rPr>
                <w:noProof/>
                <w:webHidden/>
              </w:rPr>
            </w:r>
            <w:r w:rsidR="00277A90">
              <w:rPr>
                <w:noProof/>
                <w:webHidden/>
              </w:rPr>
              <w:fldChar w:fldCharType="separate"/>
            </w:r>
            <w:r w:rsidR="00277A90">
              <w:rPr>
                <w:noProof/>
                <w:webHidden/>
              </w:rPr>
              <w:t>3</w:t>
            </w:r>
            <w:r w:rsidR="00277A90">
              <w:rPr>
                <w:noProof/>
                <w:webHidden/>
              </w:rPr>
              <w:fldChar w:fldCharType="end"/>
            </w:r>
          </w:hyperlink>
        </w:p>
        <w:p w14:paraId="05905C0C" w14:textId="4A00D2AE" w:rsidR="00277A90" w:rsidRDefault="00277A90">
          <w:pPr>
            <w:pStyle w:val="TM1"/>
            <w:tabs>
              <w:tab w:val="right" w:leader="dot" w:pos="10076"/>
            </w:tabs>
            <w:rPr>
              <w:noProof/>
              <w:color w:val="auto"/>
              <w:kern w:val="2"/>
              <w:sz w:val="24"/>
              <w:szCs w:val="24"/>
              <w:lang w:eastAsia="fr-CA"/>
              <w14:ligatures w14:val="standardContextual"/>
            </w:rPr>
          </w:pPr>
          <w:hyperlink w:anchor="_Toc228878214" w:history="1">
            <w:r w:rsidRPr="00D84979">
              <w:rPr>
                <w:rStyle w:val="Lienhypertexte"/>
                <w:b/>
                <w:bCs/>
                <w:noProof/>
              </w:rPr>
              <w:t>Annexes A à F : Rapports sur les EF – Un seul permis</w:t>
            </w:r>
            <w:r>
              <w:rPr>
                <w:noProof/>
                <w:webHidden/>
              </w:rPr>
              <w:tab/>
            </w:r>
            <w:r>
              <w:rPr>
                <w:noProof/>
                <w:webHidden/>
              </w:rPr>
              <w:fldChar w:fldCharType="begin"/>
            </w:r>
            <w:r>
              <w:rPr>
                <w:noProof/>
                <w:webHidden/>
              </w:rPr>
              <w:instrText xml:space="preserve"> PAGEREF _Toc228878214 \h </w:instrText>
            </w:r>
            <w:r>
              <w:rPr>
                <w:noProof/>
                <w:webHidden/>
              </w:rPr>
            </w:r>
            <w:r>
              <w:rPr>
                <w:noProof/>
                <w:webHidden/>
              </w:rPr>
              <w:fldChar w:fldCharType="separate"/>
            </w:r>
            <w:r>
              <w:rPr>
                <w:noProof/>
                <w:webHidden/>
              </w:rPr>
              <w:t>4</w:t>
            </w:r>
            <w:r>
              <w:rPr>
                <w:noProof/>
                <w:webHidden/>
              </w:rPr>
              <w:fldChar w:fldCharType="end"/>
            </w:r>
          </w:hyperlink>
        </w:p>
        <w:p w14:paraId="0E27E35F" w14:textId="224C4831" w:rsidR="00277A90" w:rsidRDefault="00277A90">
          <w:pPr>
            <w:pStyle w:val="TM2"/>
            <w:tabs>
              <w:tab w:val="right" w:leader="dot" w:pos="10076"/>
            </w:tabs>
            <w:rPr>
              <w:noProof/>
              <w:color w:val="auto"/>
              <w:kern w:val="2"/>
              <w:sz w:val="24"/>
              <w:szCs w:val="24"/>
              <w:lang w:eastAsia="fr-CA"/>
              <w14:ligatures w14:val="standardContextual"/>
            </w:rPr>
          </w:pPr>
          <w:hyperlink w:anchor="_Toc228878215" w:history="1">
            <w:r w:rsidRPr="00D84979">
              <w:rPr>
                <w:rStyle w:val="Lienhypertexte"/>
                <w:noProof/>
              </w:rPr>
              <w:t>Annexe A - CENTRES DE LA PETITE ENFANCE (</w:t>
            </w:r>
            <w:r w:rsidRPr="00D84979">
              <w:rPr>
                <w:rStyle w:val="Lienhypertexte"/>
                <w:b/>
                <w:bCs/>
                <w:noProof/>
              </w:rPr>
              <w:t>CPE</w:t>
            </w:r>
            <w:r w:rsidRPr="00D84979">
              <w:rPr>
                <w:rStyle w:val="Lienhypertexte"/>
                <w:noProof/>
              </w:rPr>
              <w:t>), BUREAUX COORDONNATEURS (</w:t>
            </w:r>
            <w:r w:rsidRPr="00D84979">
              <w:rPr>
                <w:rStyle w:val="Lienhypertexte"/>
                <w:b/>
                <w:bCs/>
                <w:noProof/>
              </w:rPr>
              <w:t>BC</w:t>
            </w:r>
            <w:r w:rsidRPr="00D84979">
              <w:rPr>
                <w:rStyle w:val="Lienhypertexte"/>
                <w:noProof/>
              </w:rPr>
              <w:t>) ET GARDERIES SUBVENTIONNÉES (</w:t>
            </w:r>
            <w:r w:rsidRPr="00D84979">
              <w:rPr>
                <w:rStyle w:val="Lienhypertexte"/>
                <w:b/>
                <w:bCs/>
                <w:noProof/>
              </w:rPr>
              <w:t>GS</w:t>
            </w:r>
            <w:r w:rsidRPr="00D84979">
              <w:rPr>
                <w:rStyle w:val="Lienhypertexte"/>
                <w:noProof/>
              </w:rPr>
              <w:t xml:space="preserve">) AYANT </w:t>
            </w:r>
            <w:r w:rsidRPr="00D84979">
              <w:rPr>
                <w:rStyle w:val="Lienhypertexte"/>
                <w:b/>
                <w:bCs/>
                <w:noProof/>
              </w:rPr>
              <w:t>UN SEUL PERMIS</w:t>
            </w:r>
            <w:r w:rsidRPr="00D84979">
              <w:rPr>
                <w:rStyle w:val="Lienhypertexte"/>
                <w:noProof/>
              </w:rPr>
              <w:t>, SOUS FORME JURIDIQUE D’ORGANISME SANS BUT LUCRATIF (</w:t>
            </w:r>
            <w:r w:rsidRPr="00D84979">
              <w:rPr>
                <w:rStyle w:val="Lienhypertexte"/>
                <w:b/>
                <w:bCs/>
                <w:noProof/>
              </w:rPr>
              <w:t>OSBL</w:t>
            </w:r>
            <w:r w:rsidRPr="00D84979">
              <w:rPr>
                <w:rStyle w:val="Lienhypertexte"/>
                <w:noProof/>
              </w:rPr>
              <w:t>)</w:t>
            </w:r>
            <w:r>
              <w:rPr>
                <w:noProof/>
                <w:webHidden/>
              </w:rPr>
              <w:tab/>
            </w:r>
            <w:r>
              <w:rPr>
                <w:noProof/>
                <w:webHidden/>
              </w:rPr>
              <w:fldChar w:fldCharType="begin"/>
            </w:r>
            <w:r>
              <w:rPr>
                <w:noProof/>
                <w:webHidden/>
              </w:rPr>
              <w:instrText xml:space="preserve"> PAGEREF _Toc228878215 \h </w:instrText>
            </w:r>
            <w:r>
              <w:rPr>
                <w:noProof/>
                <w:webHidden/>
              </w:rPr>
            </w:r>
            <w:r>
              <w:rPr>
                <w:noProof/>
                <w:webHidden/>
              </w:rPr>
              <w:fldChar w:fldCharType="separate"/>
            </w:r>
            <w:r>
              <w:rPr>
                <w:noProof/>
                <w:webHidden/>
              </w:rPr>
              <w:t>4</w:t>
            </w:r>
            <w:r>
              <w:rPr>
                <w:noProof/>
                <w:webHidden/>
              </w:rPr>
              <w:fldChar w:fldCharType="end"/>
            </w:r>
          </w:hyperlink>
        </w:p>
        <w:p w14:paraId="2B4A7108" w14:textId="63BD2910" w:rsidR="00277A90" w:rsidRDefault="00277A90">
          <w:pPr>
            <w:pStyle w:val="TM2"/>
            <w:tabs>
              <w:tab w:val="right" w:leader="dot" w:pos="10076"/>
            </w:tabs>
            <w:rPr>
              <w:noProof/>
              <w:color w:val="auto"/>
              <w:kern w:val="2"/>
              <w:sz w:val="24"/>
              <w:szCs w:val="24"/>
              <w:lang w:eastAsia="fr-CA"/>
              <w14:ligatures w14:val="standardContextual"/>
            </w:rPr>
          </w:pPr>
          <w:hyperlink w:anchor="_Toc228878216" w:history="1">
            <w:r w:rsidRPr="00D84979">
              <w:rPr>
                <w:rStyle w:val="Lienhypertexte"/>
                <w:noProof/>
              </w:rPr>
              <w:t>Annexe B - GARDERIES SUBVENTIONNÉES (</w:t>
            </w:r>
            <w:r w:rsidRPr="00D84979">
              <w:rPr>
                <w:rStyle w:val="Lienhypertexte"/>
                <w:b/>
                <w:bCs/>
                <w:noProof/>
              </w:rPr>
              <w:t>GS</w:t>
            </w:r>
            <w:r w:rsidRPr="00D84979">
              <w:rPr>
                <w:rStyle w:val="Lienhypertexte"/>
                <w:noProof/>
              </w:rPr>
              <w:t xml:space="preserve">) AYANT </w:t>
            </w:r>
            <w:r w:rsidRPr="00D84979">
              <w:rPr>
                <w:rStyle w:val="Lienhypertexte"/>
                <w:b/>
                <w:bCs/>
                <w:noProof/>
              </w:rPr>
              <w:t>UN SEUL PERMIS</w:t>
            </w:r>
            <w:r w:rsidRPr="00D84979">
              <w:rPr>
                <w:rStyle w:val="Lienhypertexte"/>
                <w:noProof/>
              </w:rPr>
              <w:t>, SOUS FORME JURIDIQUE D’ENTREPRISE À CAPITAL FERMÉ (</w:t>
            </w:r>
            <w:r w:rsidRPr="00D84979">
              <w:rPr>
                <w:rStyle w:val="Lienhypertexte"/>
                <w:b/>
                <w:bCs/>
                <w:noProof/>
              </w:rPr>
              <w:t>ECF</w:t>
            </w:r>
            <w:r w:rsidRPr="00D84979">
              <w:rPr>
                <w:rStyle w:val="Lienhypertexte"/>
                <w:noProof/>
              </w:rPr>
              <w:t>)</w:t>
            </w:r>
            <w:r>
              <w:rPr>
                <w:noProof/>
                <w:webHidden/>
              </w:rPr>
              <w:tab/>
            </w:r>
            <w:r>
              <w:rPr>
                <w:noProof/>
                <w:webHidden/>
              </w:rPr>
              <w:fldChar w:fldCharType="begin"/>
            </w:r>
            <w:r>
              <w:rPr>
                <w:noProof/>
                <w:webHidden/>
              </w:rPr>
              <w:instrText xml:space="preserve"> PAGEREF _Toc228878216 \h </w:instrText>
            </w:r>
            <w:r>
              <w:rPr>
                <w:noProof/>
                <w:webHidden/>
              </w:rPr>
            </w:r>
            <w:r>
              <w:rPr>
                <w:noProof/>
                <w:webHidden/>
              </w:rPr>
              <w:fldChar w:fldCharType="separate"/>
            </w:r>
            <w:r>
              <w:rPr>
                <w:noProof/>
                <w:webHidden/>
              </w:rPr>
              <w:t>6</w:t>
            </w:r>
            <w:r>
              <w:rPr>
                <w:noProof/>
                <w:webHidden/>
              </w:rPr>
              <w:fldChar w:fldCharType="end"/>
            </w:r>
          </w:hyperlink>
        </w:p>
        <w:p w14:paraId="61DEF840" w14:textId="45DBB267" w:rsidR="00277A90" w:rsidRDefault="00277A90">
          <w:pPr>
            <w:pStyle w:val="TM2"/>
            <w:tabs>
              <w:tab w:val="right" w:leader="dot" w:pos="10076"/>
            </w:tabs>
            <w:rPr>
              <w:noProof/>
              <w:color w:val="auto"/>
              <w:kern w:val="2"/>
              <w:sz w:val="24"/>
              <w:szCs w:val="24"/>
              <w:lang w:eastAsia="fr-CA"/>
              <w14:ligatures w14:val="standardContextual"/>
            </w:rPr>
          </w:pPr>
          <w:hyperlink w:anchor="_Toc228878217" w:history="1">
            <w:r w:rsidRPr="00D84979">
              <w:rPr>
                <w:rStyle w:val="Lienhypertexte"/>
                <w:noProof/>
              </w:rPr>
              <w:t>Annexe C - GARDERIES SUBVENTIONNÉES (</w:t>
            </w:r>
            <w:r w:rsidRPr="00D84979">
              <w:rPr>
                <w:rStyle w:val="Lienhypertexte"/>
                <w:b/>
                <w:bCs/>
                <w:noProof/>
              </w:rPr>
              <w:t>GS</w:t>
            </w:r>
            <w:r w:rsidRPr="00D84979">
              <w:rPr>
                <w:rStyle w:val="Lienhypertexte"/>
                <w:noProof/>
              </w:rPr>
              <w:t xml:space="preserve">) AYANT </w:t>
            </w:r>
            <w:r w:rsidRPr="00D84979">
              <w:rPr>
                <w:rStyle w:val="Lienhypertexte"/>
                <w:b/>
                <w:bCs/>
                <w:noProof/>
              </w:rPr>
              <w:t>UN SEUL PERMIS</w:t>
            </w:r>
            <w:r w:rsidRPr="00D84979">
              <w:rPr>
                <w:rStyle w:val="Lienhypertexte"/>
                <w:noProof/>
              </w:rPr>
              <w:t>, SOUS FORME JURIDIQUE D’ENTREPRISE À CAPITAL FERMÉ SANS PERSONNALITÉ MORALE (</w:t>
            </w:r>
            <w:r w:rsidRPr="00D84979">
              <w:rPr>
                <w:rStyle w:val="Lienhypertexte"/>
                <w:b/>
                <w:bCs/>
                <w:noProof/>
              </w:rPr>
              <w:t>ECF</w:t>
            </w:r>
            <w:r w:rsidRPr="00D84979">
              <w:rPr>
                <w:rStyle w:val="Lienhypertexte"/>
                <w:noProof/>
              </w:rPr>
              <w:t>)</w:t>
            </w:r>
            <w:r>
              <w:rPr>
                <w:noProof/>
                <w:webHidden/>
              </w:rPr>
              <w:tab/>
            </w:r>
            <w:r>
              <w:rPr>
                <w:noProof/>
                <w:webHidden/>
              </w:rPr>
              <w:fldChar w:fldCharType="begin"/>
            </w:r>
            <w:r>
              <w:rPr>
                <w:noProof/>
                <w:webHidden/>
              </w:rPr>
              <w:instrText xml:space="preserve"> PAGEREF _Toc228878217 \h </w:instrText>
            </w:r>
            <w:r>
              <w:rPr>
                <w:noProof/>
                <w:webHidden/>
              </w:rPr>
            </w:r>
            <w:r>
              <w:rPr>
                <w:noProof/>
                <w:webHidden/>
              </w:rPr>
              <w:fldChar w:fldCharType="separate"/>
            </w:r>
            <w:r>
              <w:rPr>
                <w:noProof/>
                <w:webHidden/>
              </w:rPr>
              <w:t>8</w:t>
            </w:r>
            <w:r>
              <w:rPr>
                <w:noProof/>
                <w:webHidden/>
              </w:rPr>
              <w:fldChar w:fldCharType="end"/>
            </w:r>
          </w:hyperlink>
        </w:p>
        <w:p w14:paraId="41E69FDE" w14:textId="00588572" w:rsidR="00277A90" w:rsidRDefault="00277A90">
          <w:pPr>
            <w:pStyle w:val="TM2"/>
            <w:tabs>
              <w:tab w:val="right" w:leader="dot" w:pos="10076"/>
            </w:tabs>
            <w:rPr>
              <w:noProof/>
              <w:color w:val="auto"/>
              <w:kern w:val="2"/>
              <w:sz w:val="24"/>
              <w:szCs w:val="24"/>
              <w:lang w:eastAsia="fr-CA"/>
              <w14:ligatures w14:val="standardContextual"/>
            </w:rPr>
          </w:pPr>
          <w:hyperlink w:anchor="_Toc228878218" w:history="1">
            <w:r w:rsidRPr="00D84979">
              <w:rPr>
                <w:rStyle w:val="Lienhypertexte"/>
                <w:noProof/>
              </w:rPr>
              <w:t>Annexe D - GARDERIES SUBVENTIONNÉES (</w:t>
            </w:r>
            <w:r w:rsidRPr="00D84979">
              <w:rPr>
                <w:rStyle w:val="Lienhypertexte"/>
                <w:b/>
                <w:bCs/>
                <w:noProof/>
              </w:rPr>
              <w:t>GS</w:t>
            </w:r>
            <w:r w:rsidRPr="00D84979">
              <w:rPr>
                <w:rStyle w:val="Lienhypertexte"/>
                <w:noProof/>
              </w:rPr>
              <w:t xml:space="preserve">) AYANT </w:t>
            </w:r>
            <w:r w:rsidRPr="00D84979">
              <w:rPr>
                <w:rStyle w:val="Lienhypertexte"/>
                <w:b/>
                <w:bCs/>
                <w:noProof/>
              </w:rPr>
              <w:t>UN SEUL PERMIS</w:t>
            </w:r>
            <w:r w:rsidRPr="00D84979">
              <w:rPr>
                <w:rStyle w:val="Lienhypertexte"/>
                <w:noProof/>
              </w:rPr>
              <w:t>, SOUS FORME JURIDIQUE DE SOCIÉTÉ EN NOM COLLECTIF (</w:t>
            </w:r>
            <w:r w:rsidRPr="00D84979">
              <w:rPr>
                <w:rStyle w:val="Lienhypertexte"/>
                <w:b/>
                <w:bCs/>
                <w:noProof/>
              </w:rPr>
              <w:t>SENC</w:t>
            </w:r>
            <w:r w:rsidRPr="00D84979">
              <w:rPr>
                <w:rStyle w:val="Lienhypertexte"/>
                <w:noProof/>
              </w:rPr>
              <w:t>) POUR LES ENTREPRISES À CAPITAL FERMÉ (</w:t>
            </w:r>
            <w:r w:rsidRPr="00D84979">
              <w:rPr>
                <w:rStyle w:val="Lienhypertexte"/>
                <w:b/>
                <w:bCs/>
                <w:noProof/>
              </w:rPr>
              <w:t>ECF</w:t>
            </w:r>
            <w:r w:rsidRPr="00D84979">
              <w:rPr>
                <w:rStyle w:val="Lienhypertexte"/>
                <w:noProof/>
              </w:rPr>
              <w:t>)</w:t>
            </w:r>
            <w:r>
              <w:rPr>
                <w:noProof/>
                <w:webHidden/>
              </w:rPr>
              <w:tab/>
            </w:r>
            <w:r>
              <w:rPr>
                <w:noProof/>
                <w:webHidden/>
              </w:rPr>
              <w:fldChar w:fldCharType="begin"/>
            </w:r>
            <w:r>
              <w:rPr>
                <w:noProof/>
                <w:webHidden/>
              </w:rPr>
              <w:instrText xml:space="preserve"> PAGEREF _Toc228878218 \h </w:instrText>
            </w:r>
            <w:r>
              <w:rPr>
                <w:noProof/>
                <w:webHidden/>
              </w:rPr>
            </w:r>
            <w:r>
              <w:rPr>
                <w:noProof/>
                <w:webHidden/>
              </w:rPr>
              <w:fldChar w:fldCharType="separate"/>
            </w:r>
            <w:r>
              <w:rPr>
                <w:noProof/>
                <w:webHidden/>
              </w:rPr>
              <w:t>10</w:t>
            </w:r>
            <w:r>
              <w:rPr>
                <w:noProof/>
                <w:webHidden/>
              </w:rPr>
              <w:fldChar w:fldCharType="end"/>
            </w:r>
          </w:hyperlink>
        </w:p>
        <w:p w14:paraId="478FE1B6" w14:textId="3D113E1A" w:rsidR="00277A90" w:rsidRDefault="00277A90">
          <w:pPr>
            <w:pStyle w:val="TM2"/>
            <w:tabs>
              <w:tab w:val="right" w:leader="dot" w:pos="10076"/>
            </w:tabs>
            <w:rPr>
              <w:noProof/>
              <w:color w:val="auto"/>
              <w:kern w:val="2"/>
              <w:sz w:val="24"/>
              <w:szCs w:val="24"/>
              <w:lang w:eastAsia="fr-CA"/>
              <w14:ligatures w14:val="standardContextual"/>
            </w:rPr>
          </w:pPr>
          <w:hyperlink w:anchor="_Toc228878219" w:history="1">
            <w:r w:rsidRPr="00D84979">
              <w:rPr>
                <w:rStyle w:val="Lienhypertexte"/>
                <w:noProof/>
              </w:rPr>
              <w:t>Annexe E - CENTRES DE LA PETITE ENFANCE (</w:t>
            </w:r>
            <w:r w:rsidRPr="00D84979">
              <w:rPr>
                <w:rStyle w:val="Lienhypertexte"/>
                <w:b/>
                <w:bCs/>
                <w:noProof/>
              </w:rPr>
              <w:t>CPE</w:t>
            </w:r>
            <w:r w:rsidRPr="00D84979">
              <w:rPr>
                <w:rStyle w:val="Lienhypertexte"/>
                <w:noProof/>
              </w:rPr>
              <w:t xml:space="preserve">), AYANT </w:t>
            </w:r>
            <w:r w:rsidRPr="00D84979">
              <w:rPr>
                <w:rStyle w:val="Lienhypertexte"/>
                <w:b/>
                <w:bCs/>
                <w:noProof/>
              </w:rPr>
              <w:t>UN SEUL PERMIS</w:t>
            </w:r>
            <w:r w:rsidRPr="00D84979">
              <w:rPr>
                <w:rStyle w:val="Lienhypertexte"/>
                <w:noProof/>
              </w:rPr>
              <w:t>, SOUS FORME JURIDIQUE DE COOPÉRATIVE (</w:t>
            </w:r>
            <w:r w:rsidRPr="00D84979">
              <w:rPr>
                <w:rStyle w:val="Lienhypertexte"/>
                <w:b/>
                <w:bCs/>
                <w:noProof/>
              </w:rPr>
              <w:t>COOP OSBL</w:t>
            </w:r>
            <w:r w:rsidRPr="00D84979">
              <w:rPr>
                <w:rStyle w:val="Lienhypertexte"/>
                <w:noProof/>
              </w:rPr>
              <w:t>)</w:t>
            </w:r>
            <w:r>
              <w:rPr>
                <w:noProof/>
                <w:webHidden/>
              </w:rPr>
              <w:tab/>
            </w:r>
            <w:r>
              <w:rPr>
                <w:noProof/>
                <w:webHidden/>
              </w:rPr>
              <w:fldChar w:fldCharType="begin"/>
            </w:r>
            <w:r>
              <w:rPr>
                <w:noProof/>
                <w:webHidden/>
              </w:rPr>
              <w:instrText xml:space="preserve"> PAGEREF _Toc228878219 \h </w:instrText>
            </w:r>
            <w:r>
              <w:rPr>
                <w:noProof/>
                <w:webHidden/>
              </w:rPr>
            </w:r>
            <w:r>
              <w:rPr>
                <w:noProof/>
                <w:webHidden/>
              </w:rPr>
              <w:fldChar w:fldCharType="separate"/>
            </w:r>
            <w:r>
              <w:rPr>
                <w:noProof/>
                <w:webHidden/>
              </w:rPr>
              <w:t>12</w:t>
            </w:r>
            <w:r>
              <w:rPr>
                <w:noProof/>
                <w:webHidden/>
              </w:rPr>
              <w:fldChar w:fldCharType="end"/>
            </w:r>
          </w:hyperlink>
        </w:p>
        <w:p w14:paraId="75D2E9B1" w14:textId="5D46C2A3" w:rsidR="00277A90" w:rsidRDefault="00277A90">
          <w:pPr>
            <w:pStyle w:val="TM2"/>
            <w:tabs>
              <w:tab w:val="right" w:leader="dot" w:pos="10076"/>
            </w:tabs>
            <w:rPr>
              <w:noProof/>
              <w:color w:val="auto"/>
              <w:kern w:val="2"/>
              <w:sz w:val="24"/>
              <w:szCs w:val="24"/>
              <w:lang w:eastAsia="fr-CA"/>
              <w14:ligatures w14:val="standardContextual"/>
            </w:rPr>
          </w:pPr>
          <w:hyperlink w:anchor="_Toc228878220" w:history="1">
            <w:r w:rsidRPr="00D84979">
              <w:rPr>
                <w:rStyle w:val="Lienhypertexte"/>
                <w:noProof/>
              </w:rPr>
              <w:t xml:space="preserve">Annexe F - </w:t>
            </w:r>
            <w:r w:rsidRPr="00D84979">
              <w:rPr>
                <w:rStyle w:val="Lienhypertexte"/>
                <w:noProof/>
                <w:lang w:val="fr-FR"/>
              </w:rPr>
              <w:t>GARDERIE NON SUBVENTIONNÉE (</w:t>
            </w:r>
            <w:r w:rsidRPr="00D84979">
              <w:rPr>
                <w:rStyle w:val="Lienhypertexte"/>
                <w:b/>
                <w:bCs/>
                <w:noProof/>
                <w:lang w:val="fr-FR"/>
              </w:rPr>
              <w:t>GNS</w:t>
            </w:r>
            <w:r w:rsidRPr="00D84979">
              <w:rPr>
                <w:rStyle w:val="Lienhypertexte"/>
                <w:noProof/>
                <w:lang w:val="fr-FR"/>
              </w:rPr>
              <w:t xml:space="preserve">) </w:t>
            </w:r>
            <w:r w:rsidRPr="00D84979">
              <w:rPr>
                <w:rStyle w:val="Lienhypertexte"/>
                <w:noProof/>
              </w:rPr>
              <w:t xml:space="preserve">SOUS FORME JURIDIQUE D’ENTREPRISE À CAPITAL FERMÉ, </w:t>
            </w:r>
            <w:r w:rsidRPr="00D84979">
              <w:rPr>
                <w:rStyle w:val="Lienhypertexte"/>
                <w:noProof/>
                <w:lang w:val="fr-FR"/>
              </w:rPr>
              <w:t xml:space="preserve">AYANT </w:t>
            </w:r>
            <w:r w:rsidRPr="00D84979">
              <w:rPr>
                <w:rStyle w:val="Lienhypertexte"/>
                <w:b/>
                <w:bCs/>
                <w:noProof/>
                <w:lang w:val="fr-FR"/>
              </w:rPr>
              <w:t>UN SEUL PERMIS</w:t>
            </w:r>
            <w:r w:rsidRPr="00D84979">
              <w:rPr>
                <w:rStyle w:val="Lienhypertexte"/>
                <w:noProof/>
                <w:lang w:val="fr-FR"/>
              </w:rPr>
              <w:t xml:space="preserve">, </w:t>
            </w:r>
            <w:r w:rsidRPr="00D84979">
              <w:rPr>
                <w:rStyle w:val="Lienhypertexte"/>
                <w:b/>
                <w:bCs/>
                <w:noProof/>
                <w:lang w:val="fr-FR"/>
              </w:rPr>
              <w:t>CONVERTIE</w:t>
            </w:r>
            <w:r w:rsidRPr="00D84979">
              <w:rPr>
                <w:rStyle w:val="Lienhypertexte"/>
                <w:noProof/>
                <w:lang w:val="fr-FR"/>
              </w:rPr>
              <w:t xml:space="preserve"> EN GARDERIE SUBVENTIONNÉE (</w:t>
            </w:r>
            <w:r w:rsidRPr="00D84979">
              <w:rPr>
                <w:rStyle w:val="Lienhypertexte"/>
                <w:b/>
                <w:bCs/>
                <w:noProof/>
                <w:lang w:val="fr-FR"/>
              </w:rPr>
              <w:t>GS</w:t>
            </w:r>
            <w:r w:rsidRPr="00D84979">
              <w:rPr>
                <w:rStyle w:val="Lienhypertexte"/>
                <w:noProof/>
                <w:lang w:val="fr-FR"/>
              </w:rPr>
              <w:t>) AU COURS DE L’EXERCICE</w:t>
            </w:r>
            <w:r>
              <w:rPr>
                <w:noProof/>
                <w:webHidden/>
              </w:rPr>
              <w:tab/>
            </w:r>
            <w:r>
              <w:rPr>
                <w:noProof/>
                <w:webHidden/>
              </w:rPr>
              <w:fldChar w:fldCharType="begin"/>
            </w:r>
            <w:r>
              <w:rPr>
                <w:noProof/>
                <w:webHidden/>
              </w:rPr>
              <w:instrText xml:space="preserve"> PAGEREF _Toc228878220 \h </w:instrText>
            </w:r>
            <w:r>
              <w:rPr>
                <w:noProof/>
                <w:webHidden/>
              </w:rPr>
            </w:r>
            <w:r>
              <w:rPr>
                <w:noProof/>
                <w:webHidden/>
              </w:rPr>
              <w:fldChar w:fldCharType="separate"/>
            </w:r>
            <w:r>
              <w:rPr>
                <w:noProof/>
                <w:webHidden/>
              </w:rPr>
              <w:t>14</w:t>
            </w:r>
            <w:r>
              <w:rPr>
                <w:noProof/>
                <w:webHidden/>
              </w:rPr>
              <w:fldChar w:fldCharType="end"/>
            </w:r>
          </w:hyperlink>
        </w:p>
        <w:p w14:paraId="375C1EB1" w14:textId="394AB7FB" w:rsidR="00277A90" w:rsidRDefault="00277A90">
          <w:pPr>
            <w:pStyle w:val="TM1"/>
            <w:tabs>
              <w:tab w:val="right" w:leader="dot" w:pos="10076"/>
            </w:tabs>
            <w:rPr>
              <w:noProof/>
              <w:color w:val="auto"/>
              <w:kern w:val="2"/>
              <w:sz w:val="24"/>
              <w:szCs w:val="24"/>
              <w:lang w:eastAsia="fr-CA"/>
              <w14:ligatures w14:val="standardContextual"/>
            </w:rPr>
          </w:pPr>
          <w:hyperlink w:anchor="_Toc228878221" w:history="1">
            <w:r w:rsidRPr="00D84979">
              <w:rPr>
                <w:rStyle w:val="Lienhypertexte"/>
                <w:b/>
                <w:bCs/>
                <w:noProof/>
              </w:rPr>
              <w:t>Annexe G : Rapports sur les EF – Plusieurs permis</w:t>
            </w:r>
            <w:r>
              <w:rPr>
                <w:noProof/>
                <w:webHidden/>
              </w:rPr>
              <w:tab/>
            </w:r>
            <w:r>
              <w:rPr>
                <w:noProof/>
                <w:webHidden/>
              </w:rPr>
              <w:fldChar w:fldCharType="begin"/>
            </w:r>
            <w:r>
              <w:rPr>
                <w:noProof/>
                <w:webHidden/>
              </w:rPr>
              <w:instrText xml:space="preserve"> PAGEREF _Toc228878221 \h </w:instrText>
            </w:r>
            <w:r>
              <w:rPr>
                <w:noProof/>
                <w:webHidden/>
              </w:rPr>
            </w:r>
            <w:r>
              <w:rPr>
                <w:noProof/>
                <w:webHidden/>
              </w:rPr>
              <w:fldChar w:fldCharType="separate"/>
            </w:r>
            <w:r>
              <w:rPr>
                <w:noProof/>
                <w:webHidden/>
              </w:rPr>
              <w:t>17</w:t>
            </w:r>
            <w:r>
              <w:rPr>
                <w:noProof/>
                <w:webHidden/>
              </w:rPr>
              <w:fldChar w:fldCharType="end"/>
            </w:r>
          </w:hyperlink>
        </w:p>
        <w:p w14:paraId="64123BA6" w14:textId="2725299D" w:rsidR="00277A90" w:rsidRDefault="00277A90">
          <w:pPr>
            <w:pStyle w:val="TM1"/>
            <w:tabs>
              <w:tab w:val="right" w:leader="dot" w:pos="10076"/>
            </w:tabs>
            <w:rPr>
              <w:noProof/>
              <w:color w:val="auto"/>
              <w:kern w:val="2"/>
              <w:sz w:val="24"/>
              <w:szCs w:val="24"/>
              <w:lang w:eastAsia="fr-CA"/>
              <w14:ligatures w14:val="standardContextual"/>
            </w:rPr>
          </w:pPr>
          <w:hyperlink w:anchor="_Toc228878222" w:history="1">
            <w:r w:rsidRPr="00D84979">
              <w:rPr>
                <w:rStyle w:val="Lienhypertexte"/>
                <w:b/>
                <w:bCs/>
                <w:noProof/>
              </w:rPr>
              <w:t>Annexe H : Rapport sur l’état de la rémunération du personnel</w:t>
            </w:r>
            <w:r>
              <w:rPr>
                <w:noProof/>
                <w:webHidden/>
              </w:rPr>
              <w:tab/>
            </w:r>
            <w:r>
              <w:rPr>
                <w:noProof/>
                <w:webHidden/>
              </w:rPr>
              <w:fldChar w:fldCharType="begin"/>
            </w:r>
            <w:r>
              <w:rPr>
                <w:noProof/>
                <w:webHidden/>
              </w:rPr>
              <w:instrText xml:space="preserve"> PAGEREF _Toc228878222 \h </w:instrText>
            </w:r>
            <w:r>
              <w:rPr>
                <w:noProof/>
                <w:webHidden/>
              </w:rPr>
            </w:r>
            <w:r>
              <w:rPr>
                <w:noProof/>
                <w:webHidden/>
              </w:rPr>
              <w:fldChar w:fldCharType="separate"/>
            </w:r>
            <w:r>
              <w:rPr>
                <w:noProof/>
                <w:webHidden/>
              </w:rPr>
              <w:t>21</w:t>
            </w:r>
            <w:r>
              <w:rPr>
                <w:noProof/>
                <w:webHidden/>
              </w:rPr>
              <w:fldChar w:fldCharType="end"/>
            </w:r>
          </w:hyperlink>
        </w:p>
        <w:p w14:paraId="2A8736DB" w14:textId="1CD5F08F" w:rsidR="00277A90" w:rsidRDefault="00277A90">
          <w:pPr>
            <w:pStyle w:val="TM1"/>
            <w:tabs>
              <w:tab w:val="right" w:leader="dot" w:pos="10076"/>
            </w:tabs>
            <w:rPr>
              <w:noProof/>
              <w:color w:val="auto"/>
              <w:kern w:val="2"/>
              <w:sz w:val="24"/>
              <w:szCs w:val="24"/>
              <w:lang w:eastAsia="fr-CA"/>
              <w14:ligatures w14:val="standardContextual"/>
            </w:rPr>
          </w:pPr>
          <w:hyperlink w:anchor="_Toc228878223" w:history="1">
            <w:r w:rsidRPr="00D84979">
              <w:rPr>
                <w:rStyle w:val="Lienhypertexte"/>
                <w:b/>
                <w:bCs/>
                <w:noProof/>
              </w:rPr>
              <w:t>Annexe I : Rapport sur l’état des subventions octroyées aux RSGE</w:t>
            </w:r>
            <w:r>
              <w:rPr>
                <w:noProof/>
                <w:webHidden/>
              </w:rPr>
              <w:tab/>
            </w:r>
            <w:r>
              <w:rPr>
                <w:noProof/>
                <w:webHidden/>
              </w:rPr>
              <w:fldChar w:fldCharType="begin"/>
            </w:r>
            <w:r>
              <w:rPr>
                <w:noProof/>
                <w:webHidden/>
              </w:rPr>
              <w:instrText xml:space="preserve"> PAGEREF _Toc228878223 \h </w:instrText>
            </w:r>
            <w:r>
              <w:rPr>
                <w:noProof/>
                <w:webHidden/>
              </w:rPr>
            </w:r>
            <w:r>
              <w:rPr>
                <w:noProof/>
                <w:webHidden/>
              </w:rPr>
              <w:fldChar w:fldCharType="separate"/>
            </w:r>
            <w:r>
              <w:rPr>
                <w:noProof/>
                <w:webHidden/>
              </w:rPr>
              <w:t>24</w:t>
            </w:r>
            <w:r>
              <w:rPr>
                <w:noProof/>
                <w:webHidden/>
              </w:rPr>
              <w:fldChar w:fldCharType="end"/>
            </w:r>
          </w:hyperlink>
        </w:p>
        <w:p w14:paraId="20504A73" w14:textId="2D05BA9C" w:rsidR="00277A90" w:rsidRDefault="00277A90">
          <w:pPr>
            <w:pStyle w:val="TM1"/>
            <w:tabs>
              <w:tab w:val="right" w:leader="dot" w:pos="10076"/>
            </w:tabs>
            <w:rPr>
              <w:noProof/>
              <w:color w:val="auto"/>
              <w:kern w:val="2"/>
              <w:sz w:val="24"/>
              <w:szCs w:val="24"/>
              <w:lang w:eastAsia="fr-CA"/>
              <w14:ligatures w14:val="standardContextual"/>
            </w:rPr>
          </w:pPr>
          <w:hyperlink w:anchor="_Toc228878224" w:history="1">
            <w:r w:rsidRPr="00D84979">
              <w:rPr>
                <w:rStyle w:val="Lienhypertexte"/>
                <w:b/>
                <w:bCs/>
                <w:noProof/>
              </w:rPr>
              <w:t>Annexe J : Rapport sur l’état de l’occupation et des présences réelles des enfants</w:t>
            </w:r>
            <w:r>
              <w:rPr>
                <w:noProof/>
                <w:webHidden/>
              </w:rPr>
              <w:tab/>
            </w:r>
            <w:r>
              <w:rPr>
                <w:noProof/>
                <w:webHidden/>
              </w:rPr>
              <w:fldChar w:fldCharType="begin"/>
            </w:r>
            <w:r>
              <w:rPr>
                <w:noProof/>
                <w:webHidden/>
              </w:rPr>
              <w:instrText xml:space="preserve"> PAGEREF _Toc228878224 \h </w:instrText>
            </w:r>
            <w:r>
              <w:rPr>
                <w:noProof/>
                <w:webHidden/>
              </w:rPr>
            </w:r>
            <w:r>
              <w:rPr>
                <w:noProof/>
                <w:webHidden/>
              </w:rPr>
              <w:fldChar w:fldCharType="separate"/>
            </w:r>
            <w:r>
              <w:rPr>
                <w:noProof/>
                <w:webHidden/>
              </w:rPr>
              <w:t>26</w:t>
            </w:r>
            <w:r>
              <w:rPr>
                <w:noProof/>
                <w:webHidden/>
              </w:rPr>
              <w:fldChar w:fldCharType="end"/>
            </w:r>
          </w:hyperlink>
        </w:p>
        <w:p w14:paraId="4E11EA1A" w14:textId="67FED43D" w:rsidR="00A10C5A" w:rsidRDefault="005F1488" w:rsidP="007F1ECA">
          <w:pPr>
            <w:rPr>
              <w:b/>
              <w:bCs/>
            </w:rPr>
          </w:pPr>
          <w:r>
            <w:rPr>
              <w:color w:val="0F4761" w:themeColor="accent1" w:themeShade="BF"/>
            </w:rPr>
            <w:fldChar w:fldCharType="end"/>
          </w:r>
        </w:p>
      </w:sdtContent>
    </w:sdt>
    <w:p w14:paraId="7822B873" w14:textId="5ED0CB3E" w:rsidR="00CD79CF" w:rsidRPr="007F1ECA" w:rsidRDefault="00CD79CF" w:rsidP="007F1ECA">
      <w:pPr>
        <w:rPr>
          <w:rFonts w:eastAsiaTheme="majorEastAsia"/>
        </w:rPr>
      </w:pPr>
    </w:p>
    <w:p w14:paraId="335D17AD" w14:textId="28C532CF" w:rsidR="00B52810" w:rsidRDefault="00B52810">
      <w:pPr>
        <w:rPr>
          <w:rFonts w:asciiTheme="majorHAnsi" w:eastAsiaTheme="majorEastAsia" w:hAnsiTheme="majorHAnsi" w:cstheme="majorBidi"/>
          <w:b/>
          <w:bCs/>
          <w:color w:val="3A7C22" w:themeColor="accent6" w:themeShade="BF"/>
          <w:sz w:val="40"/>
          <w:szCs w:val="40"/>
        </w:rPr>
      </w:pPr>
      <w:r>
        <w:rPr>
          <w:b/>
          <w:bCs/>
        </w:rPr>
        <w:br w:type="page"/>
      </w:r>
    </w:p>
    <w:p w14:paraId="1DFC790B" w14:textId="5BA97091" w:rsidR="00786CB7" w:rsidRPr="00B52810" w:rsidRDefault="00E15503" w:rsidP="00B52810">
      <w:pPr>
        <w:pStyle w:val="Titre1"/>
        <w:jc w:val="both"/>
        <w:rPr>
          <w:b/>
          <w:bCs/>
        </w:rPr>
      </w:pPr>
      <w:bookmarkStart w:id="1" w:name="_Toc228878213"/>
      <w:r w:rsidRPr="00B52810">
        <w:rPr>
          <w:b/>
          <w:bCs/>
        </w:rPr>
        <w:t xml:space="preserve">Contexte – </w:t>
      </w:r>
      <w:r w:rsidR="00216C61" w:rsidRPr="00B52810">
        <w:rPr>
          <w:b/>
          <w:bCs/>
        </w:rPr>
        <w:t>N</w:t>
      </w:r>
      <w:r w:rsidRPr="00B52810">
        <w:rPr>
          <w:b/>
          <w:bCs/>
        </w:rPr>
        <w:t>ombre de places au permis</w:t>
      </w:r>
      <w:r w:rsidR="00C458BB" w:rsidRPr="00B52810">
        <w:rPr>
          <w:b/>
          <w:bCs/>
        </w:rPr>
        <w:t xml:space="preserve">, </w:t>
      </w:r>
      <w:r w:rsidR="00216C61" w:rsidRPr="00B52810">
        <w:rPr>
          <w:b/>
          <w:bCs/>
        </w:rPr>
        <w:t xml:space="preserve">nombre d’installations </w:t>
      </w:r>
      <w:r w:rsidR="005C767B" w:rsidRPr="00B52810">
        <w:rPr>
          <w:b/>
          <w:bCs/>
        </w:rPr>
        <w:t>et rapport financier annuel (RFA) à produire</w:t>
      </w:r>
      <w:bookmarkEnd w:id="1"/>
    </w:p>
    <w:p w14:paraId="2CBE7554" w14:textId="77777777" w:rsidR="00E15503" w:rsidRDefault="00E15503" w:rsidP="00E15503"/>
    <w:p w14:paraId="4DF36B6A" w14:textId="726336C4" w:rsidR="00E15503" w:rsidRDefault="00E15503" w:rsidP="007F1ECA">
      <w:pPr>
        <w:pStyle w:val="Titre"/>
      </w:pPr>
      <w:r>
        <w:t>C</w:t>
      </w:r>
      <w:r w:rsidR="001C1146">
        <w:t xml:space="preserve">entre de la </w:t>
      </w:r>
      <w:r>
        <w:t>P</w:t>
      </w:r>
      <w:r w:rsidR="001C1146">
        <w:t xml:space="preserve">etite </w:t>
      </w:r>
      <w:r>
        <w:t>E</w:t>
      </w:r>
      <w:r w:rsidR="001C1146">
        <w:t>nfance (CPE)</w:t>
      </w:r>
      <w:r w:rsidR="00B33570">
        <w:t xml:space="preserve"> </w:t>
      </w:r>
    </w:p>
    <w:p w14:paraId="45DAED99" w14:textId="3968ABBD" w:rsidR="00216C61" w:rsidRDefault="00216C61" w:rsidP="00FB6D33">
      <w:pPr>
        <w:pStyle w:val="Paragraphedeliste"/>
        <w:numPr>
          <w:ilvl w:val="0"/>
          <w:numId w:val="21"/>
        </w:numPr>
      </w:pPr>
      <w:r>
        <w:t xml:space="preserve">Nombre </w:t>
      </w:r>
      <w:r w:rsidR="00FB6D33">
        <w:t>de</w:t>
      </w:r>
      <w:r>
        <w:t xml:space="preserve"> permis</w:t>
      </w:r>
      <w:r w:rsidR="00FB6D33">
        <w:t xml:space="preserve"> maximal : 1</w:t>
      </w:r>
    </w:p>
    <w:p w14:paraId="7DAD75C3" w14:textId="5A419238" w:rsidR="00166D0C" w:rsidRDefault="006762D5" w:rsidP="003B62D6">
      <w:pPr>
        <w:pStyle w:val="Paragraphedeliste"/>
        <w:numPr>
          <w:ilvl w:val="0"/>
          <w:numId w:val="21"/>
        </w:numPr>
      </w:pPr>
      <w:r>
        <w:t xml:space="preserve">Un CPE peut avoir </w:t>
      </w:r>
      <w:r w:rsidR="004F455C">
        <w:t>plus d’une installation à son permis;</w:t>
      </w:r>
    </w:p>
    <w:p w14:paraId="711EE9F0" w14:textId="77777777" w:rsidR="00981643" w:rsidRPr="00981643" w:rsidRDefault="00981643" w:rsidP="00981643">
      <w:pPr>
        <w:pStyle w:val="Paragraphedeliste"/>
        <w:numPr>
          <w:ilvl w:val="0"/>
          <w:numId w:val="21"/>
        </w:numPr>
      </w:pPr>
      <w:r w:rsidRPr="00981643">
        <w:t xml:space="preserve">RFA : Un CPE doit produire un seul RFA, peu importe le nombre d’installations à son permis.  </w:t>
      </w:r>
    </w:p>
    <w:p w14:paraId="78A616C7" w14:textId="77777777" w:rsidR="00B720EF" w:rsidRPr="003B62D6" w:rsidRDefault="00B720EF" w:rsidP="00B52810">
      <w:pPr>
        <w:pStyle w:val="Titre2"/>
      </w:pPr>
    </w:p>
    <w:p w14:paraId="7571D6EC" w14:textId="440CE11A" w:rsidR="00DD1617" w:rsidRDefault="00DD1617" w:rsidP="007F1ECA">
      <w:pPr>
        <w:pStyle w:val="Titre"/>
      </w:pPr>
      <w:r w:rsidRPr="00B52810">
        <w:t>B</w:t>
      </w:r>
      <w:r w:rsidR="001C1146">
        <w:t>ureau coordonnateur (B</w:t>
      </w:r>
      <w:r w:rsidRPr="00B52810">
        <w:t>C</w:t>
      </w:r>
      <w:r w:rsidR="001C1146">
        <w:t>)</w:t>
      </w:r>
    </w:p>
    <w:p w14:paraId="0075CCF0" w14:textId="7A8CEBDE" w:rsidR="00DD1617" w:rsidRDefault="00DD1617" w:rsidP="00DD1617">
      <w:pPr>
        <w:pStyle w:val="Paragraphedeliste"/>
        <w:numPr>
          <w:ilvl w:val="0"/>
          <w:numId w:val="22"/>
        </w:numPr>
      </w:pPr>
      <w:r>
        <w:t>Il s’agit d’un agrément et non d’un permis.</w:t>
      </w:r>
    </w:p>
    <w:p w14:paraId="2480C189" w14:textId="64516970" w:rsidR="00166D0C" w:rsidRDefault="00277216" w:rsidP="00DD1617">
      <w:pPr>
        <w:pStyle w:val="Paragraphedeliste"/>
        <w:numPr>
          <w:ilvl w:val="0"/>
          <w:numId w:val="22"/>
        </w:numPr>
      </w:pPr>
      <w:r>
        <w:t>Il coordonne</w:t>
      </w:r>
      <w:r w:rsidR="00FB2FD2">
        <w:t xml:space="preserve"> (gère)</w:t>
      </w:r>
      <w:r>
        <w:t xml:space="preserve"> les services de garde en milieu familiale.</w:t>
      </w:r>
    </w:p>
    <w:p w14:paraId="0D26E591" w14:textId="51C7C3C0" w:rsidR="00721DD8" w:rsidRDefault="00721DD8" w:rsidP="00721DD8">
      <w:pPr>
        <w:pStyle w:val="Paragraphedeliste"/>
        <w:numPr>
          <w:ilvl w:val="0"/>
          <w:numId w:val="22"/>
        </w:numPr>
        <w:jc w:val="both"/>
      </w:pPr>
      <w:r>
        <w:t xml:space="preserve">Un CPE peut avoir une division de garde en installation(s) et une division de garde en milieu familial pour le BC.  Dans ce cas, il a un permis pour l’installation </w:t>
      </w:r>
      <w:r w:rsidR="00C55806">
        <w:t>(</w:t>
      </w:r>
      <w:r>
        <w:t>ou les installations</w:t>
      </w:r>
      <w:r w:rsidR="00C55806">
        <w:t>)</w:t>
      </w:r>
      <w:r>
        <w:t xml:space="preserve"> et un agrément pour le BC. </w:t>
      </w:r>
    </w:p>
    <w:p w14:paraId="28419E67" w14:textId="39DCAE1A" w:rsidR="00721DD8" w:rsidRDefault="00721DD8" w:rsidP="00721DD8">
      <w:pPr>
        <w:pStyle w:val="Paragraphedeliste"/>
        <w:numPr>
          <w:ilvl w:val="0"/>
          <w:numId w:val="22"/>
        </w:numPr>
        <w:jc w:val="both"/>
      </w:pPr>
      <w:r>
        <w:t>RFA : Un seul RFA pour le CPE et le BC</w:t>
      </w:r>
      <w:r w:rsidR="002B7452">
        <w:t>.</w:t>
      </w:r>
    </w:p>
    <w:p w14:paraId="63D594C6" w14:textId="77777777" w:rsidR="00DD1617" w:rsidRPr="00B52810" w:rsidRDefault="00DD1617" w:rsidP="00B52810"/>
    <w:p w14:paraId="4DA40F2C" w14:textId="432153F8" w:rsidR="00C458BB" w:rsidRDefault="00BB54C7" w:rsidP="007F1ECA">
      <w:pPr>
        <w:pStyle w:val="Titre"/>
      </w:pPr>
      <w:r>
        <w:t>Garderie</w:t>
      </w:r>
      <w:r w:rsidR="009A1DE7">
        <w:t>s</w:t>
      </w:r>
      <w:r>
        <w:t xml:space="preserve"> subventionnée</w:t>
      </w:r>
      <w:r w:rsidR="001C1146">
        <w:t xml:space="preserve"> (GS)</w:t>
      </w:r>
      <w:r w:rsidR="00811B38">
        <w:t xml:space="preserve"> </w:t>
      </w:r>
    </w:p>
    <w:p w14:paraId="1A4A226A" w14:textId="709F217D" w:rsidR="00BB54C7" w:rsidRDefault="002F6669" w:rsidP="00BB54C7">
      <w:pPr>
        <w:pStyle w:val="Paragraphedeliste"/>
        <w:numPr>
          <w:ilvl w:val="0"/>
          <w:numId w:val="23"/>
        </w:numPr>
      </w:pPr>
      <w:r w:rsidRPr="002F6669">
        <w:t>Nombre de permis maximal : 5 (500 places au total)</w:t>
      </w:r>
      <w:r>
        <w:t>.</w:t>
      </w:r>
    </w:p>
    <w:p w14:paraId="2064BE3F" w14:textId="3228974E" w:rsidR="00127D5E" w:rsidRDefault="00F92378" w:rsidP="00BB54C7">
      <w:pPr>
        <w:pStyle w:val="Paragraphedeliste"/>
        <w:numPr>
          <w:ilvl w:val="0"/>
          <w:numId w:val="23"/>
        </w:numPr>
      </w:pPr>
      <w:r>
        <w:t xml:space="preserve">Un ou plusieurs permis peuvent se retrouver </w:t>
      </w:r>
      <w:r w:rsidR="00E24818">
        <w:t>dans une même entité juridique</w:t>
      </w:r>
      <w:r w:rsidR="002B7452">
        <w:t>; dans ce cas on fait référence à une « division ».</w:t>
      </w:r>
    </w:p>
    <w:p w14:paraId="19421B0C" w14:textId="0955AC1D" w:rsidR="00465280" w:rsidRDefault="00465280" w:rsidP="00465280">
      <w:pPr>
        <w:pStyle w:val="Paragraphedeliste"/>
        <w:numPr>
          <w:ilvl w:val="1"/>
          <w:numId w:val="23"/>
        </w:numPr>
      </w:pPr>
      <w:r>
        <w:t xml:space="preserve">Entité juridique </w:t>
      </w:r>
      <w:r w:rsidR="00DE22F3">
        <w:t>détenant</w:t>
      </w:r>
      <w:r>
        <w:t xml:space="preserve"> un seul permis</w:t>
      </w:r>
      <w:r w:rsidR="00DE22F3">
        <w:t> : Un seul RFA</w:t>
      </w:r>
    </w:p>
    <w:p w14:paraId="66B6F7D6" w14:textId="2DF9F848" w:rsidR="00DE22F3" w:rsidRDefault="00DE22F3" w:rsidP="004016C2">
      <w:pPr>
        <w:pStyle w:val="Paragraphedeliste"/>
        <w:numPr>
          <w:ilvl w:val="1"/>
          <w:numId w:val="23"/>
        </w:numPr>
      </w:pPr>
      <w:r>
        <w:t xml:space="preserve">Entité juridique détenant plusieurs permis : </w:t>
      </w:r>
      <w:r w:rsidR="007B4E16">
        <w:t>Un RFA distinct doit être produit pour chaque division, soit un pour chaque permis.</w:t>
      </w:r>
    </w:p>
    <w:p w14:paraId="3C93066C" w14:textId="77777777" w:rsidR="00FB6D33" w:rsidRPr="00216C61" w:rsidRDefault="00FB6D33" w:rsidP="00B52810"/>
    <w:p w14:paraId="31F9C492" w14:textId="4320CC30" w:rsidR="00FF68D9" w:rsidRDefault="00FF68D9" w:rsidP="00B52810">
      <w:pPr>
        <w:pStyle w:val="Titre2"/>
      </w:pPr>
      <w:r>
        <w:t xml:space="preserve"> </w:t>
      </w:r>
    </w:p>
    <w:p w14:paraId="5B1A18B6" w14:textId="77777777" w:rsidR="00CD79CF" w:rsidRPr="00CD79CF" w:rsidRDefault="00CD79CF" w:rsidP="00B52810"/>
    <w:p w14:paraId="456BBAC1" w14:textId="380840D9" w:rsidR="005E214C" w:rsidRDefault="005E214C" w:rsidP="00DB38D3">
      <w:pPr>
        <w:pStyle w:val="Titre1"/>
      </w:pPr>
      <w:r>
        <w:br w:type="page"/>
      </w:r>
    </w:p>
    <w:p w14:paraId="718A35B1" w14:textId="1A8C6D45" w:rsidR="00A10C5A" w:rsidRPr="00B52810" w:rsidRDefault="0079165C" w:rsidP="00B52810">
      <w:pPr>
        <w:pStyle w:val="Titre1"/>
        <w:rPr>
          <w:b/>
          <w:bCs/>
        </w:rPr>
      </w:pPr>
      <w:bookmarkStart w:id="2" w:name="_Toc228791574"/>
      <w:bookmarkStart w:id="3" w:name="_Toc228878214"/>
      <w:r w:rsidRPr="00B52810">
        <w:rPr>
          <w:rStyle w:val="Titre2Car"/>
          <w:b/>
          <w:bCs/>
          <w:color w:val="3A7C22" w:themeColor="accent6" w:themeShade="BF"/>
          <w:sz w:val="40"/>
          <w:szCs w:val="40"/>
        </w:rPr>
        <w:t>Annexes A à F : Rapports sur les EF – Un seul permis</w:t>
      </w:r>
      <w:bookmarkEnd w:id="2"/>
      <w:bookmarkEnd w:id="3"/>
    </w:p>
    <w:p w14:paraId="4ACC927C" w14:textId="06F49F26" w:rsidR="00C7233C" w:rsidRDefault="009F3995" w:rsidP="007F1ECA">
      <w:pPr>
        <w:pStyle w:val="Titre2"/>
        <w:jc w:val="both"/>
      </w:pPr>
      <w:bookmarkStart w:id="4" w:name="_Toc228878215"/>
      <w:r>
        <w:t>A</w:t>
      </w:r>
      <w:r w:rsidR="00E82E63" w:rsidRPr="00E82E63">
        <w:t>nnexe A</w:t>
      </w:r>
      <w:r w:rsidR="00054368">
        <w:t xml:space="preserve"> - </w:t>
      </w:r>
      <w:r w:rsidR="00E82E63" w:rsidRPr="00E82E63">
        <w:t>CENTRES DE LA PETITE ENFANCE</w:t>
      </w:r>
      <w:r w:rsidR="0021259F">
        <w:t xml:space="preserve"> (</w:t>
      </w:r>
      <w:r w:rsidR="0021259F" w:rsidRPr="00B52810">
        <w:rPr>
          <w:b/>
          <w:bCs/>
        </w:rPr>
        <w:t>CPE</w:t>
      </w:r>
      <w:r w:rsidR="0021259F">
        <w:t>)</w:t>
      </w:r>
      <w:r w:rsidR="00E82E63" w:rsidRPr="00E82E63">
        <w:t>, BUREAUX COORDONNATEURS</w:t>
      </w:r>
      <w:r w:rsidR="0021259F">
        <w:t xml:space="preserve"> (</w:t>
      </w:r>
      <w:r w:rsidR="0021259F" w:rsidRPr="00B52810">
        <w:rPr>
          <w:b/>
          <w:bCs/>
        </w:rPr>
        <w:t>BC</w:t>
      </w:r>
      <w:r w:rsidR="0021259F">
        <w:t>)</w:t>
      </w:r>
      <w:r w:rsidR="00E82E63" w:rsidRPr="00E82E63">
        <w:t xml:space="preserve"> ET GARDERIES SUBVENTIONNÉES</w:t>
      </w:r>
      <w:r w:rsidR="0021259F">
        <w:t xml:space="preserve"> (</w:t>
      </w:r>
      <w:r w:rsidR="0021259F" w:rsidRPr="00B52810">
        <w:rPr>
          <w:b/>
          <w:bCs/>
        </w:rPr>
        <w:t>GS</w:t>
      </w:r>
      <w:r w:rsidR="0021259F">
        <w:t>)</w:t>
      </w:r>
      <w:r w:rsidR="00E82E63" w:rsidRPr="00E82E63">
        <w:t xml:space="preserve"> </w:t>
      </w:r>
      <w:r w:rsidR="0072009A">
        <w:t xml:space="preserve">AYANT </w:t>
      </w:r>
      <w:r w:rsidR="0072009A" w:rsidRPr="00B52810">
        <w:rPr>
          <w:b/>
          <w:bCs/>
        </w:rPr>
        <w:t xml:space="preserve">UN SEUL </w:t>
      </w:r>
      <w:r w:rsidR="00232E94" w:rsidRPr="00B52810">
        <w:rPr>
          <w:b/>
          <w:bCs/>
        </w:rPr>
        <w:t>PERMIS</w:t>
      </w:r>
      <w:r w:rsidR="00232E94">
        <w:t xml:space="preserve">, </w:t>
      </w:r>
      <w:r w:rsidR="00232E94" w:rsidRPr="00E82E63">
        <w:t>SOUS</w:t>
      </w:r>
      <w:r w:rsidR="00E82E63" w:rsidRPr="00E82E63">
        <w:t xml:space="preserve"> FORME JURIDIQUE D’ORGANISME SANS BUT LUCRATIF (</w:t>
      </w:r>
      <w:r w:rsidR="00E82E63" w:rsidRPr="00B52810">
        <w:rPr>
          <w:b/>
          <w:bCs/>
        </w:rPr>
        <w:t>OSBL</w:t>
      </w:r>
      <w:r w:rsidR="00E82E63" w:rsidRPr="00E82E63">
        <w:t>)</w:t>
      </w:r>
      <w:bookmarkEnd w:id="4"/>
      <w:r w:rsidR="00E82E63" w:rsidRPr="00E82E63">
        <w:t xml:space="preserve"> </w:t>
      </w:r>
    </w:p>
    <w:p w14:paraId="487F5F4C" w14:textId="7F4020B0" w:rsidR="00E82E63" w:rsidRPr="00E82E63" w:rsidRDefault="002B1AA9" w:rsidP="00200A2D">
      <w:pPr>
        <w:jc w:val="both"/>
        <w:rPr>
          <w:b/>
        </w:rPr>
      </w:pPr>
      <w:r>
        <w:rPr>
          <w:b/>
        </w:rPr>
        <w:t xml:space="preserve">RAPPORT SUR DES </w:t>
      </w:r>
      <w:r w:rsidR="00E82E63" w:rsidRPr="00E82E63">
        <w:rPr>
          <w:b/>
        </w:rPr>
        <w:t xml:space="preserve">ÉTATS FINANCIERS </w:t>
      </w:r>
      <w:r w:rsidR="00364099">
        <w:rPr>
          <w:b/>
        </w:rPr>
        <w:t>ÉTABLIS</w:t>
      </w:r>
      <w:r w:rsidR="008C6FBC">
        <w:rPr>
          <w:b/>
        </w:rPr>
        <w:t xml:space="preserve"> SELON LES </w:t>
      </w:r>
      <w:r w:rsidR="0026498D" w:rsidRPr="0026498D">
        <w:rPr>
          <w:b/>
          <w:bCs/>
        </w:rPr>
        <w:t>NORMES COMPTABLES CANADIENNES POUR LES ORGANISMES SANS BUT LUCRATIF</w:t>
      </w:r>
      <w:r w:rsidR="0026498D">
        <w:rPr>
          <w:b/>
        </w:rPr>
        <w:t xml:space="preserve"> (</w:t>
      </w:r>
      <w:r w:rsidR="008C6FBC">
        <w:rPr>
          <w:b/>
        </w:rPr>
        <w:t>NCOSBL</w:t>
      </w:r>
      <w:r w:rsidR="0026498D">
        <w:rPr>
          <w:b/>
        </w:rPr>
        <w:t>)</w:t>
      </w:r>
      <w:r w:rsidR="00892C67">
        <w:rPr>
          <w:b/>
        </w:rPr>
        <w:t xml:space="preserve"> </w:t>
      </w:r>
    </w:p>
    <w:tbl>
      <w:tblPr>
        <w:tblW w:w="0" w:type="auto"/>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880"/>
      </w:tblGrid>
      <w:tr w:rsidR="00E82E63" w:rsidRPr="00E82E63" w14:paraId="12FFCE50" w14:textId="77777777" w:rsidTr="00E82E63">
        <w:trPr>
          <w:trHeight w:val="2058"/>
        </w:trPr>
        <w:tc>
          <w:tcPr>
            <w:tcW w:w="9880" w:type="dxa"/>
            <w:tcBorders>
              <w:top w:val="single" w:sz="18" w:space="0" w:color="36A9E1"/>
              <w:left w:val="single" w:sz="18" w:space="0" w:color="36A9E1"/>
              <w:bottom w:val="single" w:sz="18" w:space="0" w:color="36A9E1"/>
              <w:right w:val="single" w:sz="18" w:space="0" w:color="36A9E1"/>
            </w:tcBorders>
            <w:hideMark/>
          </w:tcPr>
          <w:p w14:paraId="5977D474" w14:textId="77777777" w:rsidR="00E82E63" w:rsidRPr="00E82E63" w:rsidRDefault="00E82E63" w:rsidP="00A60C8F">
            <w:pPr>
              <w:spacing w:after="160" w:line="259" w:lineRule="auto"/>
            </w:pPr>
            <w:bookmarkStart w:id="5" w:name="_Hlk221794492"/>
          </w:p>
          <w:p w14:paraId="651E4AEB" w14:textId="608BB4AF" w:rsidR="00E82E63" w:rsidRPr="00E82E63" w:rsidRDefault="00E82E63" w:rsidP="00C7233C">
            <w:pPr>
              <w:spacing w:after="160" w:line="259" w:lineRule="auto"/>
            </w:pPr>
            <w:r w:rsidRPr="00E82E63">
              <w:t>Aux fins de l’exemple ci-dessous, on suppose les circonstances suivantes</w:t>
            </w:r>
            <w:r w:rsidR="00D26807">
              <w:t> :</w:t>
            </w:r>
            <w:r w:rsidR="00D26807" w:rsidRPr="00E82E63">
              <w:t xml:space="preserve"> </w:t>
            </w:r>
          </w:p>
          <w:p w14:paraId="64915599" w14:textId="216A3723" w:rsidR="00110B14" w:rsidRPr="00021577" w:rsidRDefault="00110B14">
            <w:pPr>
              <w:numPr>
                <w:ilvl w:val="0"/>
                <w:numId w:val="6"/>
              </w:numPr>
              <w:spacing w:after="160" w:line="259" w:lineRule="auto"/>
            </w:pPr>
            <w:r w:rsidRPr="00E82E63">
              <w:t>La mission d’examen porte sur un jeu complet d’états financiers</w:t>
            </w:r>
            <w:r w:rsidR="005F3776">
              <w:t xml:space="preserve"> d’</w:t>
            </w:r>
            <w:r w:rsidR="005F3776" w:rsidRPr="00E82E63">
              <w:t xml:space="preserve">un </w:t>
            </w:r>
            <w:r w:rsidR="00196DA5">
              <w:t xml:space="preserve">organisme sans but lucratif </w:t>
            </w:r>
            <w:r w:rsidR="000D0FDE">
              <w:t xml:space="preserve">qui n’a </w:t>
            </w:r>
            <w:r w:rsidR="000D0FDE" w:rsidRPr="00C7233C">
              <w:rPr>
                <w:b/>
                <w:bCs/>
              </w:rPr>
              <w:t>que</w:t>
            </w:r>
            <w:r w:rsidR="00C22FD6" w:rsidRPr="00C7233C">
              <w:rPr>
                <w:b/>
                <w:bCs/>
              </w:rPr>
              <w:t xml:space="preserve"> </w:t>
            </w:r>
            <w:r w:rsidR="000D0FDE" w:rsidRPr="00C7233C">
              <w:rPr>
                <w:b/>
                <w:bCs/>
              </w:rPr>
              <w:t>des</w:t>
            </w:r>
            <w:r w:rsidR="00A55C74" w:rsidRPr="00C7233C">
              <w:rPr>
                <w:b/>
                <w:bCs/>
              </w:rPr>
              <w:t xml:space="preserve"> activités de garde </w:t>
            </w:r>
            <w:r w:rsidR="00C22FD6" w:rsidRPr="00C7233C">
              <w:rPr>
                <w:b/>
                <w:bCs/>
              </w:rPr>
              <w:t>subventionnée</w:t>
            </w:r>
            <w:r w:rsidR="009F3995">
              <w:t xml:space="preserve"> </w:t>
            </w:r>
            <w:r w:rsidR="00392184">
              <w:t xml:space="preserve">ainsi </w:t>
            </w:r>
            <w:r w:rsidR="00392184" w:rsidRPr="001C3C02">
              <w:rPr>
                <w:b/>
                <w:bCs/>
              </w:rPr>
              <w:t>qu’un seul permis</w:t>
            </w:r>
            <w:r w:rsidR="00392184">
              <w:t xml:space="preserve">. Se référer plutôt à </w:t>
            </w:r>
            <w:r w:rsidR="00392184" w:rsidRPr="001C3C02">
              <w:rPr>
                <w:b/>
                <w:bCs/>
              </w:rPr>
              <w:t>l’</w:t>
            </w:r>
            <w:r w:rsidR="009F3995" w:rsidRPr="001C3C02">
              <w:rPr>
                <w:b/>
                <w:bCs/>
              </w:rPr>
              <w:t xml:space="preserve">annexe </w:t>
            </w:r>
            <w:r w:rsidR="00BE6B2B" w:rsidRPr="001C3C02">
              <w:rPr>
                <w:b/>
                <w:bCs/>
              </w:rPr>
              <w:t>G</w:t>
            </w:r>
            <w:r w:rsidR="009F3995" w:rsidRPr="001C3C02">
              <w:rPr>
                <w:b/>
                <w:bCs/>
              </w:rPr>
              <w:t xml:space="preserve"> </w:t>
            </w:r>
            <w:r w:rsidR="00021577" w:rsidRPr="001C3C02">
              <w:rPr>
                <w:b/>
                <w:bCs/>
              </w:rPr>
              <w:t>lorsque l’entité détient plusieurs permis</w:t>
            </w:r>
            <w:r w:rsidR="009F3995">
              <w:t>.</w:t>
            </w:r>
            <w:r w:rsidR="00E7040B">
              <w:t xml:space="preserve"> </w:t>
            </w:r>
            <w:r w:rsidR="00351B00" w:rsidRPr="00021577">
              <w:t>S</w:t>
            </w:r>
            <w:r w:rsidR="00E7040B" w:rsidRPr="00021577">
              <w:t xml:space="preserve">i l’entité a été </w:t>
            </w:r>
            <w:r w:rsidR="00E7040B" w:rsidRPr="001C3C02">
              <w:rPr>
                <w:b/>
                <w:bCs/>
              </w:rPr>
              <w:t>c</w:t>
            </w:r>
            <w:r w:rsidR="00E1238E" w:rsidRPr="001C3C02">
              <w:rPr>
                <w:b/>
                <w:bCs/>
              </w:rPr>
              <w:t>onvertie</w:t>
            </w:r>
            <w:r w:rsidR="00E1238E" w:rsidRPr="00021577">
              <w:t xml:space="preserve"> en garderie subventionnée dans l’année </w:t>
            </w:r>
            <w:r w:rsidR="00351B00" w:rsidRPr="00021577">
              <w:t xml:space="preserve">se référer plutôt à </w:t>
            </w:r>
            <w:r w:rsidR="00351B00" w:rsidRPr="001C3C02">
              <w:rPr>
                <w:b/>
                <w:bCs/>
              </w:rPr>
              <w:t>l’annexe</w:t>
            </w:r>
            <w:r w:rsidR="00BE6B2B" w:rsidRPr="001C3C02">
              <w:rPr>
                <w:b/>
                <w:bCs/>
              </w:rPr>
              <w:t xml:space="preserve"> F</w:t>
            </w:r>
            <w:r w:rsidR="00021577" w:rsidRPr="001C3C02">
              <w:rPr>
                <w:b/>
                <w:bCs/>
              </w:rPr>
              <w:t>.</w:t>
            </w:r>
          </w:p>
          <w:p w14:paraId="208AD6C5" w14:textId="6908246D" w:rsidR="008C6FBC" w:rsidRPr="00E82E63" w:rsidRDefault="008C6FBC" w:rsidP="00C7233C">
            <w:pPr>
              <w:numPr>
                <w:ilvl w:val="0"/>
                <w:numId w:val="6"/>
              </w:numPr>
              <w:spacing w:after="160" w:line="259" w:lineRule="auto"/>
            </w:pPr>
            <w:r>
              <w:t>Le référentiel d’information financière applicable est la Partie III du Manuel de CPA Canada – Comptabilité – Normes comptables canadiennes pour les organismes sans but lucratif.</w:t>
            </w:r>
          </w:p>
          <w:p w14:paraId="03AA7366" w14:textId="77777777" w:rsidR="005F3776" w:rsidRPr="00E82E63" w:rsidRDefault="005F3776" w:rsidP="005F3776">
            <w:pPr>
              <w:numPr>
                <w:ilvl w:val="0"/>
                <w:numId w:val="6"/>
              </w:numPr>
              <w:spacing w:after="160" w:line="259" w:lineRule="auto"/>
            </w:pPr>
            <w:r w:rsidRPr="00E82E63">
              <w:t>Il n’existe pas d’incertitude significative liée à des événements ou situations susceptibles de jeter un doute important sur la capacité de l’entité à poursuivre son exploitation.</w:t>
            </w:r>
          </w:p>
          <w:p w14:paraId="3345ACB8" w14:textId="77777777" w:rsidR="00E82E63" w:rsidRPr="00E82E63" w:rsidRDefault="00E82E63" w:rsidP="001C3C02">
            <w:pPr>
              <w:numPr>
                <w:ilvl w:val="0"/>
                <w:numId w:val="6"/>
              </w:numPr>
              <w:spacing w:after="160" w:line="259" w:lineRule="auto"/>
              <w:rPr>
                <w:b/>
              </w:rPr>
            </w:pPr>
            <w:r w:rsidRPr="00E82E63">
              <w:t>Les personnes responsables de la surveillance du processus d’information financière ne sont pas les mêmes que celles qui sont responsables de leur préparation.</w:t>
            </w:r>
          </w:p>
        </w:tc>
      </w:tr>
      <w:bookmarkEnd w:id="5"/>
    </w:tbl>
    <w:p w14:paraId="7A9A80C4" w14:textId="77777777" w:rsidR="00E82E63" w:rsidRDefault="00E82E63" w:rsidP="00E82E63">
      <w:pPr>
        <w:rPr>
          <w:b/>
          <w:bCs/>
        </w:rPr>
      </w:pPr>
    </w:p>
    <w:p w14:paraId="294929BF" w14:textId="77777777" w:rsidR="0021259F" w:rsidRPr="00E82E63" w:rsidRDefault="0021259F" w:rsidP="00E82E63">
      <w:pPr>
        <w:rPr>
          <w:b/>
          <w:bCs/>
        </w:rPr>
      </w:pPr>
    </w:p>
    <w:p w14:paraId="144AD7C4" w14:textId="77777777" w:rsidR="00E82E63" w:rsidRPr="00E82E63" w:rsidRDefault="00E82E63" w:rsidP="00E82E63">
      <w:pPr>
        <w:rPr>
          <w:b/>
        </w:rPr>
      </w:pPr>
      <w:r w:rsidRPr="00E82E63">
        <w:rPr>
          <w:b/>
        </w:rPr>
        <w:t>RAPPORT DE MISSION D’EXAMEN DU PROFESSIONNEL EN EXERCICE INDÉPENDANT</w:t>
      </w:r>
    </w:p>
    <w:p w14:paraId="164437B9" w14:textId="74F8EFE2" w:rsidR="00E82E63" w:rsidRPr="00E82E63" w:rsidRDefault="00E82E63" w:rsidP="001C3C02">
      <w:pPr>
        <w:jc w:val="both"/>
      </w:pPr>
      <w:r w:rsidRPr="00E82E63">
        <w:t>Aux membres du conseil d’administration de [nom de l’entité],</w:t>
      </w:r>
    </w:p>
    <w:p w14:paraId="521A6C8D" w14:textId="60D4CF8C" w:rsidR="00E82E63" w:rsidRPr="00E82E63" w:rsidRDefault="00E82E63" w:rsidP="001C3C02">
      <w:pPr>
        <w:jc w:val="both"/>
        <w:rPr>
          <w:b/>
          <w:bCs/>
        </w:rPr>
      </w:pPr>
      <w:r w:rsidRPr="00E82E63">
        <w:t xml:space="preserve">Nous avons effectué l’examen des états financiers de [nom de l’entité] (ci-après </w:t>
      </w:r>
      <w:r w:rsidR="00311BE9" w:rsidRPr="00E82E63">
        <w:t>l</w:t>
      </w:r>
      <w:proofErr w:type="gramStart"/>
      <w:r w:rsidR="00311BE9" w:rsidRPr="00E82E63">
        <w:t>’«</w:t>
      </w:r>
      <w:proofErr w:type="gramEnd"/>
      <w:r w:rsidRPr="00E82E63">
        <w:t> organisme »), qui comprennent le bilan au 31 mars 2026 et les états des résultats, de l’évolution de l’actif net et des flux de trésorerie pour l’exercice terminé à cette date, ainsi que les notes aux états financiers, y compris le résumé des principales méthodes comptables, et les annexes.</w:t>
      </w:r>
      <w:r w:rsidRPr="00E82E63">
        <w:rPr>
          <w:b/>
          <w:bCs/>
        </w:rPr>
        <w:t xml:space="preserve"> </w:t>
      </w:r>
    </w:p>
    <w:p w14:paraId="5AC34DD7" w14:textId="77777777" w:rsidR="00E82E63" w:rsidRPr="00E82E63" w:rsidRDefault="00E82E63" w:rsidP="00E82E63">
      <w:pPr>
        <w:rPr>
          <w:b/>
          <w:bCs/>
        </w:rPr>
      </w:pPr>
    </w:p>
    <w:p w14:paraId="2BD10C8E" w14:textId="77777777" w:rsidR="00E82E63" w:rsidRPr="00E82E63" w:rsidRDefault="00E82E63" w:rsidP="00E82E63">
      <w:r w:rsidRPr="00E82E63">
        <w:br w:type="page"/>
      </w:r>
    </w:p>
    <w:p w14:paraId="0DDB72F0" w14:textId="4A507A1B" w:rsidR="00E82E63" w:rsidRPr="00E82E63" w:rsidRDefault="00E82E63" w:rsidP="00311BE9">
      <w:pPr>
        <w:jc w:val="both"/>
        <w:rPr>
          <w:b/>
        </w:rPr>
      </w:pPr>
      <w:r w:rsidRPr="00E82E63">
        <w:rPr>
          <w:b/>
        </w:rPr>
        <w:t>Responsabilité de la direction à l’égard des états financiers</w:t>
      </w:r>
    </w:p>
    <w:p w14:paraId="36D52260" w14:textId="632F3C08" w:rsidR="00E82E63" w:rsidRPr="00E82E63" w:rsidRDefault="00E82E63" w:rsidP="00311BE9">
      <w:pPr>
        <w:jc w:val="both"/>
      </w:pPr>
      <w:r w:rsidRPr="00E82E63">
        <w:t xml:space="preserve">La direction est responsable de la préparation et de la présentation fidèle de ces états financiers conformément aux </w:t>
      </w:r>
      <w:r w:rsidR="009C66E3">
        <w:t>n</w:t>
      </w:r>
      <w:r w:rsidRPr="00E82E63">
        <w:t>ormes comptables canadiennes pour les organismes sans but lucratif, ainsi que du contrôle interne qu’elle considère comme nécessaire pour permettre la préparation d’états financiers exempts d’anomalies significatives, que celles-ci résultent de fraudes ou d’erreurs.</w:t>
      </w:r>
    </w:p>
    <w:p w14:paraId="448EFA57" w14:textId="5C461511" w:rsidR="00E82E63" w:rsidRPr="00E82E63" w:rsidRDefault="00E82E63" w:rsidP="00311BE9">
      <w:pPr>
        <w:jc w:val="both"/>
        <w:rPr>
          <w:b/>
        </w:rPr>
      </w:pPr>
      <w:r w:rsidRPr="00E82E63">
        <w:rPr>
          <w:b/>
        </w:rPr>
        <w:t>Responsabilité du professionnel en exercice à l’égard des états financiers</w:t>
      </w:r>
    </w:p>
    <w:p w14:paraId="3C26C807" w14:textId="77777777" w:rsidR="00E82E63" w:rsidRPr="00E82E63" w:rsidRDefault="00E82E63" w:rsidP="00311BE9">
      <w:pPr>
        <w:jc w:val="both"/>
      </w:pPr>
      <w:r w:rsidRPr="00E82E63">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36D48804" w14:textId="0A5972F3" w:rsidR="00E82E63" w:rsidRPr="00E82E63" w:rsidRDefault="00E82E63" w:rsidP="00311BE9">
      <w:pPr>
        <w:jc w:val="both"/>
      </w:pPr>
      <w:r w:rsidRPr="00E82E63">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w:t>
      </w:r>
      <w:r w:rsidR="006C1172">
        <w:t>organisme</w:t>
      </w:r>
      <w:r w:rsidRPr="00E82E63">
        <w:t>, selon le cas, ainsi qu’en des procédures analytiques, et évalue les éléments probants obtenus.</w:t>
      </w:r>
    </w:p>
    <w:p w14:paraId="1272C245" w14:textId="77777777" w:rsidR="00E82E63" w:rsidRPr="00E82E63" w:rsidRDefault="00E82E63" w:rsidP="00311BE9">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51FFF247" w14:textId="77777777" w:rsidR="00E82E63" w:rsidRPr="00E82E63" w:rsidRDefault="00E82E63" w:rsidP="00311BE9">
      <w:pPr>
        <w:jc w:val="both"/>
        <w:rPr>
          <w:b/>
          <w:bCs/>
        </w:rPr>
      </w:pPr>
      <w:r w:rsidRPr="00E82E63">
        <w:rPr>
          <w:b/>
          <w:bCs/>
        </w:rPr>
        <w:t>Conclusion</w:t>
      </w:r>
    </w:p>
    <w:p w14:paraId="62FE7857" w14:textId="75E31BA6" w:rsidR="00E82E63" w:rsidRPr="00E82E63" w:rsidRDefault="00E82E63" w:rsidP="00311BE9">
      <w:pPr>
        <w:jc w:val="both"/>
      </w:pPr>
      <w:r w:rsidRPr="00E82E63">
        <w:t xml:space="preserve">Au cours de notre examen, nous n’avons rien relevé qui nous porte à croire que les états financiers ne donnent pas, dans tous leurs aspects significatifs, une image fidèle de la situation financière de l’organisme au 31 mars 2026, ainsi que des résultats de ses activités et de ses flux de trésorerie pour l’exercice </w:t>
      </w:r>
      <w:r w:rsidR="006537C9">
        <w:t>terminé</w:t>
      </w:r>
      <w:r w:rsidR="006537C9" w:rsidRPr="00E82E63">
        <w:t xml:space="preserve"> </w:t>
      </w:r>
      <w:r w:rsidRPr="00E82E63">
        <w:t xml:space="preserve">à cette date, conformément aux normes comptables canadiennes pour les organismes sans but lucratif. </w:t>
      </w:r>
    </w:p>
    <w:p w14:paraId="575B86AF" w14:textId="77777777" w:rsidR="00E82E63" w:rsidRPr="00E82E63" w:rsidRDefault="00E82E63" w:rsidP="00E82E63"/>
    <w:p w14:paraId="6D4AC2AF" w14:textId="77777777" w:rsidR="00E82E63" w:rsidRPr="00E82E63" w:rsidRDefault="00E82E63" w:rsidP="00E82E63">
      <w:r w:rsidRPr="00E82E63">
        <w:t>[Signature du professionnel en exercice]</w:t>
      </w:r>
      <w:r w:rsidRPr="00E82E63">
        <w:rPr>
          <w:i/>
          <w:iCs/>
          <w:vertAlign w:val="superscript"/>
        </w:rPr>
        <w:footnoteReference w:id="2"/>
      </w:r>
    </w:p>
    <w:p w14:paraId="681BAEFB" w14:textId="77777777" w:rsidR="00E82E63" w:rsidRPr="00E82E63" w:rsidRDefault="00E82E63" w:rsidP="00E82E63">
      <w:r w:rsidRPr="00E82E63">
        <w:t xml:space="preserve">[Date du rapport du professionnel en exercice] </w:t>
      </w:r>
    </w:p>
    <w:p w14:paraId="0914B352" w14:textId="77777777" w:rsidR="00E82E63" w:rsidRPr="00E82E63" w:rsidRDefault="00E82E63" w:rsidP="00E82E63">
      <w:r w:rsidRPr="00E82E63">
        <w:t>[Adresse du professionnel en exercice]</w:t>
      </w:r>
    </w:p>
    <w:p w14:paraId="7A3005FC" w14:textId="77777777" w:rsidR="00E82E63" w:rsidRPr="00E82E63" w:rsidRDefault="00E82E63" w:rsidP="00E82E63">
      <w:r w:rsidRPr="00E82E63">
        <w:br w:type="page"/>
      </w:r>
    </w:p>
    <w:p w14:paraId="129DE561" w14:textId="69F9C1E2" w:rsidR="00293DA5" w:rsidRDefault="00E82E63" w:rsidP="007F1ECA">
      <w:pPr>
        <w:pStyle w:val="Titre2"/>
        <w:jc w:val="both"/>
      </w:pPr>
      <w:bookmarkStart w:id="6" w:name="_Toc228878216"/>
      <w:r w:rsidRPr="00E82E63">
        <w:t>Annexe B</w:t>
      </w:r>
      <w:r w:rsidR="00BA0992">
        <w:t xml:space="preserve"> - </w:t>
      </w:r>
      <w:r w:rsidRPr="00E82E63">
        <w:t>GARDERIES SUBVENTIONNÉES</w:t>
      </w:r>
      <w:r w:rsidR="00432DF9">
        <w:t xml:space="preserve"> </w:t>
      </w:r>
      <w:r w:rsidR="0021259F">
        <w:t>(</w:t>
      </w:r>
      <w:r w:rsidR="0021259F" w:rsidRPr="00B52810">
        <w:rPr>
          <w:b/>
          <w:bCs/>
        </w:rPr>
        <w:t>GS</w:t>
      </w:r>
      <w:r w:rsidR="0021259F">
        <w:t xml:space="preserve">) </w:t>
      </w:r>
      <w:r w:rsidR="00432DF9">
        <w:t xml:space="preserve">AYANT </w:t>
      </w:r>
      <w:r w:rsidR="00432DF9" w:rsidRPr="00B52810">
        <w:rPr>
          <w:b/>
          <w:bCs/>
        </w:rPr>
        <w:t>UN SEUL PERMIS</w:t>
      </w:r>
      <w:r w:rsidR="00B831F5">
        <w:t>,</w:t>
      </w:r>
      <w:r w:rsidR="00432DF9">
        <w:t xml:space="preserve"> </w:t>
      </w:r>
      <w:r w:rsidRPr="00E82E63">
        <w:t xml:space="preserve">SOUS FORME JURIDIQUE D’ENTREPRISE À CAPITAL FERMÉ </w:t>
      </w:r>
      <w:r w:rsidR="00784105">
        <w:t>(</w:t>
      </w:r>
      <w:r w:rsidR="00784105" w:rsidRPr="00B52810">
        <w:rPr>
          <w:b/>
          <w:bCs/>
        </w:rPr>
        <w:t>ECF</w:t>
      </w:r>
      <w:r w:rsidR="00784105">
        <w:t>)</w:t>
      </w:r>
      <w:bookmarkEnd w:id="6"/>
    </w:p>
    <w:p w14:paraId="23BD9DD4" w14:textId="180F00C9" w:rsidR="00E82E63" w:rsidRPr="00E82E63" w:rsidRDefault="002B1AA9" w:rsidP="00293DA5">
      <w:pPr>
        <w:jc w:val="both"/>
        <w:rPr>
          <w:b/>
        </w:rPr>
      </w:pPr>
      <w:r>
        <w:rPr>
          <w:b/>
        </w:rPr>
        <w:t xml:space="preserve">RAPPORT SUR DES </w:t>
      </w:r>
      <w:r w:rsidR="00E82E63" w:rsidRPr="00E82E63">
        <w:rPr>
          <w:b/>
        </w:rPr>
        <w:t xml:space="preserve">ÉTATS FINANCIERS </w:t>
      </w:r>
      <w:r w:rsidR="00364099">
        <w:rPr>
          <w:b/>
        </w:rPr>
        <w:t>ÉTABLIS</w:t>
      </w:r>
      <w:r w:rsidR="00436795">
        <w:rPr>
          <w:b/>
        </w:rPr>
        <w:t xml:space="preserve"> SELON LES </w:t>
      </w:r>
      <w:r w:rsidR="009C66E3" w:rsidRPr="009C66E3">
        <w:rPr>
          <w:b/>
          <w:bCs/>
        </w:rPr>
        <w:t>NORMES COMPTABLES CANADIENNES POUR LES ENTREPRISES À CAPITAL FERMÉ</w:t>
      </w:r>
      <w:r w:rsidR="009C66E3">
        <w:rPr>
          <w:b/>
        </w:rPr>
        <w:t xml:space="preserve"> </w:t>
      </w:r>
      <w:r w:rsidR="009C66E3" w:rsidRPr="00652F17">
        <w:rPr>
          <w:b/>
        </w:rPr>
        <w:t>(</w:t>
      </w:r>
      <w:r w:rsidR="00436795" w:rsidRPr="00652F17">
        <w:rPr>
          <w:b/>
        </w:rPr>
        <w:t>NCECF</w:t>
      </w:r>
      <w:r w:rsidR="009C66E3" w:rsidRPr="00652F17">
        <w:rPr>
          <w:b/>
        </w:rPr>
        <w:t>)</w:t>
      </w:r>
      <w:r w:rsidR="00E15B70" w:rsidRPr="00652F17">
        <w:rPr>
          <w:b/>
        </w:rPr>
        <w:t xml:space="preserve"> </w:t>
      </w:r>
    </w:p>
    <w:tbl>
      <w:tblPr>
        <w:tblW w:w="0" w:type="auto"/>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893"/>
      </w:tblGrid>
      <w:tr w:rsidR="00E82E63" w:rsidRPr="00E82E63" w14:paraId="05FDF74E" w14:textId="77777777" w:rsidTr="00E82E63">
        <w:trPr>
          <w:trHeight w:val="2065"/>
        </w:trPr>
        <w:tc>
          <w:tcPr>
            <w:tcW w:w="9893" w:type="dxa"/>
            <w:tcBorders>
              <w:top w:val="single" w:sz="18" w:space="0" w:color="36A9E1"/>
              <w:left w:val="single" w:sz="18" w:space="0" w:color="36A9E1"/>
              <w:bottom w:val="single" w:sz="18" w:space="0" w:color="36A9E1"/>
              <w:right w:val="single" w:sz="18" w:space="0" w:color="36A9E1"/>
            </w:tcBorders>
          </w:tcPr>
          <w:p w14:paraId="3C5C8577" w14:textId="77777777" w:rsidR="00E82E63" w:rsidRPr="00E82E63" w:rsidRDefault="00E82E63" w:rsidP="00436795">
            <w:pPr>
              <w:spacing w:after="160" w:line="259" w:lineRule="auto"/>
            </w:pPr>
          </w:p>
          <w:p w14:paraId="4478E997" w14:textId="584B993B" w:rsidR="00E82E63" w:rsidRPr="00E82E63" w:rsidRDefault="00E82E63" w:rsidP="00583265">
            <w:pPr>
              <w:spacing w:after="160" w:line="259" w:lineRule="auto"/>
            </w:pPr>
            <w:r w:rsidRPr="00E82E63">
              <w:t>Aux fins de l’exemple ci-dessous, on suppose les circonstances suivantes</w:t>
            </w:r>
            <w:r w:rsidR="00BB38D3">
              <w:t> :</w:t>
            </w:r>
            <w:r w:rsidRPr="00E82E63">
              <w:t xml:space="preserve"> </w:t>
            </w:r>
          </w:p>
          <w:p w14:paraId="137C109A" w14:textId="77777777" w:rsidR="00593052" w:rsidRPr="00593052" w:rsidRDefault="003C1A1A" w:rsidP="009A6756">
            <w:pPr>
              <w:numPr>
                <w:ilvl w:val="0"/>
                <w:numId w:val="9"/>
              </w:numPr>
              <w:spacing w:after="160" w:line="259" w:lineRule="auto"/>
            </w:pPr>
            <w:r w:rsidRPr="00E82E63">
              <w:t>La mission d’examen porte sur un jeu complet d’états financiers</w:t>
            </w:r>
            <w:r w:rsidR="009F7F8C">
              <w:t xml:space="preserve"> d’</w:t>
            </w:r>
            <w:r w:rsidR="009F7F8C" w:rsidRPr="00E82E63">
              <w:t xml:space="preserve">une </w:t>
            </w:r>
            <w:r w:rsidR="009C3AC3">
              <w:t>entreprise à capital fermé</w:t>
            </w:r>
            <w:r w:rsidR="009F7F8C" w:rsidRPr="00E82E63">
              <w:t xml:space="preserve"> qui détient </w:t>
            </w:r>
            <w:r w:rsidR="009F7F8C" w:rsidRPr="00583265">
              <w:rPr>
                <w:b/>
                <w:bCs/>
              </w:rPr>
              <w:t>un seul permis</w:t>
            </w:r>
            <w:r w:rsidR="009F7F8C">
              <w:t xml:space="preserve"> et qui n’a </w:t>
            </w:r>
            <w:r w:rsidR="009F7F8C" w:rsidRPr="00583265">
              <w:rPr>
                <w:b/>
                <w:bCs/>
              </w:rPr>
              <w:t>que des</w:t>
            </w:r>
            <w:r w:rsidR="009F7F8C">
              <w:t xml:space="preserve"> </w:t>
            </w:r>
            <w:r w:rsidR="009F7F8C" w:rsidRPr="00583265">
              <w:rPr>
                <w:b/>
                <w:bCs/>
              </w:rPr>
              <w:t>activités de garde subventionnée</w:t>
            </w:r>
            <w:r w:rsidR="00593052">
              <w:rPr>
                <w:b/>
                <w:bCs/>
              </w:rPr>
              <w:t xml:space="preserve">. </w:t>
            </w:r>
            <w:r w:rsidR="009F7F8C">
              <w:t xml:space="preserve"> </w:t>
            </w:r>
            <w:r w:rsidR="00593052">
              <w:t xml:space="preserve">Se référer plutôt à </w:t>
            </w:r>
            <w:r w:rsidR="00593052" w:rsidRPr="001C3C02">
              <w:rPr>
                <w:b/>
                <w:bCs/>
              </w:rPr>
              <w:t>l’annexe G lorsque l’entité détient plusieurs permis</w:t>
            </w:r>
            <w:r w:rsidR="00593052">
              <w:t xml:space="preserve">. </w:t>
            </w:r>
            <w:r w:rsidR="00593052" w:rsidRPr="00021577">
              <w:t xml:space="preserve">Si l’entité a été </w:t>
            </w:r>
            <w:r w:rsidR="00593052" w:rsidRPr="001C3C02">
              <w:rPr>
                <w:b/>
                <w:bCs/>
              </w:rPr>
              <w:t>convertie</w:t>
            </w:r>
            <w:r w:rsidR="00593052" w:rsidRPr="00021577">
              <w:t xml:space="preserve"> en garderie subventionnée dans l’année se référer plutôt à </w:t>
            </w:r>
            <w:r w:rsidR="00593052" w:rsidRPr="001C3C02">
              <w:rPr>
                <w:b/>
                <w:bCs/>
              </w:rPr>
              <w:t>l’annexe F.</w:t>
            </w:r>
            <w:r w:rsidR="00593052">
              <w:rPr>
                <w:b/>
                <w:bCs/>
              </w:rPr>
              <w:t xml:space="preserve"> </w:t>
            </w:r>
          </w:p>
          <w:p w14:paraId="13E7901D" w14:textId="343FED36" w:rsidR="009A6756" w:rsidRDefault="009A6756" w:rsidP="009A6756">
            <w:pPr>
              <w:numPr>
                <w:ilvl w:val="0"/>
                <w:numId w:val="9"/>
              </w:numPr>
              <w:spacing w:after="160" w:line="259" w:lineRule="auto"/>
            </w:pPr>
            <w:r>
              <w:t>Le référentiel d’information financière applicable est la Partie II du Manuel de CPA Canada – Comptabilité – Normes comptables canadiennes pour les entreprises à capital fermé.</w:t>
            </w:r>
          </w:p>
          <w:p w14:paraId="3A9C086E" w14:textId="16173935" w:rsidR="00436795" w:rsidRPr="00E82E63" w:rsidRDefault="00436795">
            <w:pPr>
              <w:numPr>
                <w:ilvl w:val="0"/>
                <w:numId w:val="9"/>
              </w:numPr>
              <w:spacing w:after="160" w:line="259" w:lineRule="auto"/>
            </w:pPr>
            <w:r w:rsidRPr="00E82E63">
              <w:t>Il n’existe pas d’incertitude significative liée à des événements ou situations susceptibles de jeter un doute important sur la capacité de l’entité à poursuivre son exploitation.</w:t>
            </w:r>
          </w:p>
          <w:p w14:paraId="00E248EE" w14:textId="2D4234C3" w:rsidR="00DA1EB1" w:rsidRPr="00E82E63" w:rsidRDefault="00DA1EB1" w:rsidP="00583265">
            <w:pPr>
              <w:numPr>
                <w:ilvl w:val="0"/>
                <w:numId w:val="9"/>
              </w:numPr>
              <w:spacing w:after="160" w:line="259" w:lineRule="auto"/>
            </w:pPr>
            <w:r>
              <w:t xml:space="preserve">Les </w:t>
            </w:r>
            <w:r w:rsidRPr="00E82E63">
              <w:t>personnes responsables de la surveillance du processus d’information financière ne sont pas les mêmes que celles qui sont responsables de leur préparation</w:t>
            </w:r>
            <w:r>
              <w:t>.</w:t>
            </w:r>
          </w:p>
          <w:p w14:paraId="4A24EF52" w14:textId="77777777" w:rsidR="00E82E63" w:rsidRPr="00E82E63" w:rsidRDefault="00E82E63" w:rsidP="00583265">
            <w:pPr>
              <w:spacing w:after="160" w:line="259" w:lineRule="auto"/>
            </w:pPr>
          </w:p>
        </w:tc>
      </w:tr>
    </w:tbl>
    <w:p w14:paraId="637BA04A" w14:textId="77777777" w:rsidR="00784105" w:rsidRPr="00E82E63" w:rsidRDefault="00784105" w:rsidP="00E82E63">
      <w:pPr>
        <w:rPr>
          <w:b/>
          <w:bCs/>
        </w:rPr>
      </w:pPr>
    </w:p>
    <w:p w14:paraId="10E8C74E" w14:textId="77777777" w:rsidR="00E82E63" w:rsidRPr="00E82E63" w:rsidRDefault="00E82E63" w:rsidP="00E82E63">
      <w:pPr>
        <w:rPr>
          <w:b/>
          <w:bCs/>
        </w:rPr>
      </w:pPr>
      <w:r w:rsidRPr="00E82E63">
        <w:rPr>
          <w:b/>
          <w:bCs/>
        </w:rPr>
        <w:t>RAPPORT DE MISSION D’EXAMEN DU PROFESSIONNEL EN EXERCICE INDÉPENDANT</w:t>
      </w:r>
    </w:p>
    <w:p w14:paraId="4D32A6B8" w14:textId="258250B6" w:rsidR="00E82E63" w:rsidRPr="00E82E63" w:rsidRDefault="00E82E63" w:rsidP="00660BE6">
      <w:pPr>
        <w:jc w:val="both"/>
      </w:pPr>
      <w:r w:rsidRPr="00E82E63">
        <w:t>Aux actionnaires de [nom de l’entité],</w:t>
      </w:r>
    </w:p>
    <w:p w14:paraId="2B32C134" w14:textId="57177F1C" w:rsidR="00E82E63" w:rsidRDefault="00E82E63" w:rsidP="00660BE6">
      <w:pPr>
        <w:jc w:val="both"/>
      </w:pPr>
      <w:bookmarkStart w:id="7" w:name="para_417"/>
      <w:bookmarkEnd w:id="7"/>
      <w:r w:rsidRPr="00E82E63">
        <w:t>Nous avons effectué l’examen des états financiers de [nom de l’entité] (ci-après la « société »), qui comprennent le bilan au 31 mars 2026, et les états des résultats, des bénéfices non répartis et des flux de trésorerie pour l’exercice terminé à cette date, ainsi que les notes aux états financiers, y compris le résumé des principales méthodes comptables, et les annexes.</w:t>
      </w:r>
    </w:p>
    <w:p w14:paraId="091E09E2" w14:textId="07A31FE5" w:rsidR="00E82E63" w:rsidRPr="00E82E63" w:rsidRDefault="00E82E63" w:rsidP="00660BE6">
      <w:pPr>
        <w:jc w:val="both"/>
        <w:rPr>
          <w:b/>
          <w:bCs/>
        </w:rPr>
      </w:pPr>
      <w:bookmarkStart w:id="8" w:name="para_418"/>
      <w:bookmarkStart w:id="9" w:name="para_419"/>
      <w:bookmarkStart w:id="10" w:name="para_421"/>
      <w:bookmarkStart w:id="11" w:name="para_422"/>
      <w:bookmarkStart w:id="12" w:name="para_423"/>
      <w:bookmarkEnd w:id="8"/>
      <w:bookmarkEnd w:id="9"/>
      <w:bookmarkEnd w:id="10"/>
      <w:bookmarkEnd w:id="11"/>
      <w:bookmarkEnd w:id="12"/>
      <w:r w:rsidRPr="00E82E63">
        <w:rPr>
          <w:b/>
          <w:bCs/>
        </w:rPr>
        <w:t>Responsabilité de la direction à l’égard des états financiers </w:t>
      </w:r>
    </w:p>
    <w:p w14:paraId="606DCC46" w14:textId="77777777" w:rsidR="00E82E63" w:rsidRDefault="00E82E63" w:rsidP="00660BE6">
      <w:pPr>
        <w:jc w:val="both"/>
      </w:pPr>
      <w:bookmarkStart w:id="13" w:name="para_424"/>
      <w:bookmarkEnd w:id="13"/>
      <w:r w:rsidRPr="00E82E63">
        <w:t>La direction est responsable de la préparation et de la présentation fidèle des états financiers conformément aux normes comptables canadiennes pour les entreprises à capital fermé, ainsi que du contrôle interne qu’elle considère comme nécessaire pour permettre la préparation d’états financiers exempts d’anomalies significatives, que celles-ci résultent de fraudes ou d’erreurs.</w:t>
      </w:r>
    </w:p>
    <w:p w14:paraId="65176B25" w14:textId="180B4B31" w:rsidR="00E82E63" w:rsidRPr="00E82E63" w:rsidRDefault="00E82E63" w:rsidP="00660BE6">
      <w:pPr>
        <w:jc w:val="both"/>
        <w:rPr>
          <w:b/>
          <w:bCs/>
        </w:rPr>
      </w:pPr>
      <w:bookmarkStart w:id="14" w:name="para_425"/>
      <w:bookmarkStart w:id="15" w:name="para_426"/>
      <w:bookmarkStart w:id="16" w:name="para_427"/>
      <w:bookmarkEnd w:id="14"/>
      <w:bookmarkEnd w:id="15"/>
      <w:bookmarkEnd w:id="16"/>
      <w:r w:rsidRPr="00E82E63">
        <w:rPr>
          <w:b/>
          <w:bCs/>
        </w:rPr>
        <w:t>Responsabilité du professionnel en exercice à l’égard de l’examen des états financiers</w:t>
      </w:r>
    </w:p>
    <w:p w14:paraId="4E76688C" w14:textId="77777777" w:rsidR="00E82E63" w:rsidRPr="00E82E63" w:rsidRDefault="00E82E63" w:rsidP="00660BE6">
      <w:pPr>
        <w:jc w:val="both"/>
      </w:pPr>
      <w:bookmarkStart w:id="17" w:name="para_428"/>
      <w:bookmarkStart w:id="18" w:name="para_366"/>
      <w:bookmarkEnd w:id="17"/>
      <w:bookmarkEnd w:id="18"/>
      <w:r w:rsidRPr="00E82E63">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2F95913C" w14:textId="529EB78B" w:rsidR="00E82E63" w:rsidRPr="00E82E63" w:rsidRDefault="00E82E63" w:rsidP="00660BE6">
      <w:pPr>
        <w:jc w:val="both"/>
      </w:pPr>
      <w:r w:rsidRPr="00E82E63">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w:t>
      </w:r>
      <w:r w:rsidR="00433E5E">
        <w:t xml:space="preserve"> </w:t>
      </w:r>
      <w:r w:rsidR="00FE61F3">
        <w:t>la société</w:t>
      </w:r>
      <w:r w:rsidRPr="00E82E63">
        <w:t>, selon le cas, ainsi qu’en des procédures analytiques, et évalue les éléments probants obtenus.</w:t>
      </w:r>
    </w:p>
    <w:p w14:paraId="17F1847D" w14:textId="77777777" w:rsidR="00E82E63" w:rsidRPr="00E82E63" w:rsidRDefault="00E82E63" w:rsidP="00660BE6">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39723413" w14:textId="77777777" w:rsidR="00E82E63" w:rsidRPr="00E82E63" w:rsidRDefault="00E82E63" w:rsidP="00660BE6">
      <w:pPr>
        <w:jc w:val="both"/>
        <w:rPr>
          <w:b/>
          <w:bCs/>
        </w:rPr>
      </w:pPr>
      <w:r w:rsidRPr="00E82E63">
        <w:rPr>
          <w:b/>
          <w:bCs/>
        </w:rPr>
        <w:t>Conclusion</w:t>
      </w:r>
    </w:p>
    <w:p w14:paraId="6D448A60" w14:textId="066625C9" w:rsidR="00E82E63" w:rsidRPr="00E82E63" w:rsidRDefault="00E82E63" w:rsidP="00660BE6">
      <w:pPr>
        <w:jc w:val="both"/>
      </w:pPr>
      <w:r w:rsidRPr="00E82E63">
        <w:t xml:space="preserve">Au cours de notre examen, nous n’avons rien relevé qui nous porte à croire que les états financiers ne donnent pas, dans tous leurs aspects significatifs, une image fidèle de la situation financière de </w:t>
      </w:r>
      <w:r w:rsidR="001E0969" w:rsidRPr="00E82E63">
        <w:t>la société</w:t>
      </w:r>
      <w:r w:rsidRPr="00E82E63">
        <w:t xml:space="preserve"> au 31 mars 2026, ainsi que des résultats de son exploitation et de ses flux de trésorerie pour l’exercice </w:t>
      </w:r>
      <w:r w:rsidR="00602072">
        <w:t>terminé</w:t>
      </w:r>
      <w:r w:rsidR="00602072" w:rsidRPr="00E82E63">
        <w:t xml:space="preserve"> </w:t>
      </w:r>
      <w:r w:rsidRPr="00E82E63">
        <w:t>à cette date, conformément aux normes comptables canadiennes pour les entreprises à capital fermé.</w:t>
      </w:r>
    </w:p>
    <w:p w14:paraId="797D7E08" w14:textId="77777777" w:rsidR="00E82E63" w:rsidRPr="00E82E63" w:rsidRDefault="00E82E63" w:rsidP="00660BE6">
      <w:pPr>
        <w:jc w:val="both"/>
      </w:pPr>
      <w:bookmarkStart w:id="19" w:name="para_367"/>
      <w:bookmarkStart w:id="20" w:name="para_430"/>
      <w:bookmarkStart w:id="21" w:name="para_431"/>
      <w:bookmarkStart w:id="22" w:name="para_432"/>
      <w:bookmarkEnd w:id="19"/>
      <w:bookmarkEnd w:id="20"/>
      <w:bookmarkEnd w:id="21"/>
      <w:bookmarkEnd w:id="22"/>
    </w:p>
    <w:p w14:paraId="5E58EE2B" w14:textId="77777777" w:rsidR="00E82E63" w:rsidRPr="00E82E63" w:rsidRDefault="00E82E63" w:rsidP="00E82E63">
      <w:r w:rsidRPr="00E82E63">
        <w:t>[Signature du professionnel en exercice]</w:t>
      </w:r>
      <w:r w:rsidRPr="00E82E63">
        <w:rPr>
          <w:i/>
          <w:iCs/>
          <w:vertAlign w:val="superscript"/>
        </w:rPr>
        <w:footnoteReference w:id="3"/>
      </w:r>
    </w:p>
    <w:p w14:paraId="14B5CBCE" w14:textId="77777777" w:rsidR="00E82E63" w:rsidRPr="00E82E63" w:rsidRDefault="00E82E63" w:rsidP="00E82E63">
      <w:r w:rsidRPr="00E82E63">
        <w:t xml:space="preserve">[Date du rapport du professionnel en exercice] </w:t>
      </w:r>
    </w:p>
    <w:p w14:paraId="1D584BB2" w14:textId="77777777" w:rsidR="00E82E63" w:rsidRPr="00E82E63" w:rsidRDefault="00E82E63" w:rsidP="00E82E63">
      <w:r w:rsidRPr="00E82E63">
        <w:t>[Adresse du professionnel en exercice]</w:t>
      </w:r>
    </w:p>
    <w:p w14:paraId="5F5CA56F" w14:textId="77777777" w:rsidR="00E82E63" w:rsidRPr="00E82E63" w:rsidRDefault="00E82E63" w:rsidP="00E82E63">
      <w:r w:rsidRPr="00E82E63">
        <w:br w:type="page"/>
      </w:r>
    </w:p>
    <w:p w14:paraId="6D150C4F" w14:textId="73CAB2A9" w:rsidR="0035572A" w:rsidRDefault="00E82E63" w:rsidP="007F1ECA">
      <w:pPr>
        <w:pStyle w:val="Titre2"/>
        <w:jc w:val="both"/>
      </w:pPr>
      <w:bookmarkStart w:id="23" w:name="_Toc228878217"/>
      <w:r w:rsidRPr="00E82E63">
        <w:t>Annexe C</w:t>
      </w:r>
      <w:r w:rsidR="00BA0992">
        <w:t xml:space="preserve"> - </w:t>
      </w:r>
      <w:r w:rsidRPr="00E82E63">
        <w:t xml:space="preserve">GARDERIES SUBVENTIONNÉES </w:t>
      </w:r>
      <w:r w:rsidR="00784105">
        <w:t>(</w:t>
      </w:r>
      <w:r w:rsidR="00784105" w:rsidRPr="00277A90">
        <w:rPr>
          <w:b/>
          <w:bCs/>
        </w:rPr>
        <w:t>GS</w:t>
      </w:r>
      <w:r w:rsidR="00784105">
        <w:t xml:space="preserve">) </w:t>
      </w:r>
      <w:r w:rsidR="00886F82">
        <w:t xml:space="preserve">AYANT </w:t>
      </w:r>
      <w:r w:rsidR="00886F82" w:rsidRPr="00277A90">
        <w:rPr>
          <w:b/>
          <w:bCs/>
        </w:rPr>
        <w:t>UN SEUL PERMIS</w:t>
      </w:r>
      <w:r w:rsidR="00B831F5">
        <w:t xml:space="preserve">, </w:t>
      </w:r>
      <w:r w:rsidRPr="00E82E63">
        <w:t xml:space="preserve">SOUS FORME JURIDIQUE D’ENTREPRISE À CAPITAL FERMÉ SANS PERSONNALITÉ MORALE </w:t>
      </w:r>
      <w:r w:rsidR="00243182">
        <w:t>(</w:t>
      </w:r>
      <w:r w:rsidR="00243182" w:rsidRPr="00277A90">
        <w:rPr>
          <w:b/>
          <w:bCs/>
        </w:rPr>
        <w:t>ECF</w:t>
      </w:r>
      <w:r w:rsidR="00243182">
        <w:t>)</w:t>
      </w:r>
      <w:bookmarkEnd w:id="23"/>
    </w:p>
    <w:p w14:paraId="3601D2F5" w14:textId="1EC0FF76" w:rsidR="00E82E63" w:rsidRPr="00E82E63" w:rsidRDefault="002B1AA9" w:rsidP="001E0969">
      <w:pPr>
        <w:jc w:val="both"/>
        <w:rPr>
          <w:b/>
          <w:bCs/>
        </w:rPr>
      </w:pPr>
      <w:r>
        <w:rPr>
          <w:b/>
          <w:bCs/>
        </w:rPr>
        <w:t xml:space="preserve">RAPPORT SUR DES </w:t>
      </w:r>
      <w:r w:rsidR="00E82E63" w:rsidRPr="00E82E63">
        <w:rPr>
          <w:b/>
          <w:bCs/>
        </w:rPr>
        <w:t xml:space="preserve">ÉTATS FINANCIERS </w:t>
      </w:r>
      <w:r w:rsidR="00364099">
        <w:rPr>
          <w:b/>
          <w:bCs/>
        </w:rPr>
        <w:t xml:space="preserve">ÉTABLIS SELON LES </w:t>
      </w:r>
      <w:r w:rsidR="00BC14FD" w:rsidRPr="009C66E3">
        <w:rPr>
          <w:b/>
          <w:bCs/>
        </w:rPr>
        <w:t>NORMES COMPTABLES CANADIENNES POUR LES ENTREPRISES À CAPITAL FERMÉ</w:t>
      </w:r>
      <w:r w:rsidR="00BC14FD">
        <w:rPr>
          <w:b/>
        </w:rPr>
        <w:t xml:space="preserve"> (NCECF)</w:t>
      </w:r>
    </w:p>
    <w:tbl>
      <w:tblPr>
        <w:tblW w:w="10080" w:type="dxa"/>
        <w:jc w:val="center"/>
        <w:tblBorders>
          <w:top w:val="single" w:sz="18" w:space="0" w:color="92D1EA"/>
          <w:left w:val="single" w:sz="18" w:space="0" w:color="92D1EA"/>
          <w:bottom w:val="single" w:sz="18" w:space="0" w:color="92D1EA"/>
          <w:right w:val="single" w:sz="18" w:space="0" w:color="92D1EA"/>
          <w:insideH w:val="single" w:sz="18" w:space="0" w:color="92D1EA"/>
          <w:insideV w:val="single" w:sz="18" w:space="0" w:color="92D1EA"/>
        </w:tblBorders>
        <w:tblLayout w:type="fixed"/>
        <w:tblCellMar>
          <w:left w:w="360" w:type="dxa"/>
          <w:right w:w="360" w:type="dxa"/>
        </w:tblCellMar>
        <w:tblLook w:val="04A0" w:firstRow="1" w:lastRow="0" w:firstColumn="1" w:lastColumn="0" w:noHBand="0" w:noVBand="1"/>
      </w:tblPr>
      <w:tblGrid>
        <w:gridCol w:w="10080"/>
      </w:tblGrid>
      <w:tr w:rsidR="00E82E63" w:rsidRPr="00E82E63" w14:paraId="09D38699" w14:textId="77777777" w:rsidTr="00E82E63">
        <w:trPr>
          <w:jc w:val="center"/>
        </w:trPr>
        <w:tc>
          <w:tcPr>
            <w:tcW w:w="10080" w:type="dxa"/>
            <w:tcBorders>
              <w:top w:val="single" w:sz="18" w:space="0" w:color="36A9E1"/>
              <w:left w:val="single" w:sz="18" w:space="0" w:color="36A9E1"/>
              <w:bottom w:val="single" w:sz="18" w:space="0" w:color="36A9E1"/>
              <w:right w:val="single" w:sz="18" w:space="0" w:color="36A9E1"/>
            </w:tcBorders>
          </w:tcPr>
          <w:p w14:paraId="11B9A98E" w14:textId="77777777" w:rsidR="00080583" w:rsidRDefault="00080583">
            <w:pPr>
              <w:jc w:val="both"/>
            </w:pPr>
          </w:p>
          <w:p w14:paraId="7F06C855" w14:textId="6811A559" w:rsidR="00E82E63" w:rsidRPr="00E82E63" w:rsidRDefault="00E82E63" w:rsidP="001E0969">
            <w:pPr>
              <w:jc w:val="both"/>
            </w:pPr>
            <w:r w:rsidRPr="00E82E63">
              <w:t>Aux fins de l’exemple ci-dessous, on suppose les circonstances suivantes</w:t>
            </w:r>
            <w:r w:rsidR="00BD69B2">
              <w:t> :</w:t>
            </w:r>
          </w:p>
          <w:p w14:paraId="33E32C5A" w14:textId="7F1026B9" w:rsidR="000F694E" w:rsidRDefault="00F67D6B" w:rsidP="000F694E">
            <w:pPr>
              <w:numPr>
                <w:ilvl w:val="0"/>
                <w:numId w:val="6"/>
              </w:numPr>
              <w:tabs>
                <w:tab w:val="left" w:pos="360"/>
              </w:tabs>
              <w:spacing w:after="160" w:line="259" w:lineRule="auto"/>
              <w:jc w:val="both"/>
            </w:pPr>
            <w:r w:rsidRPr="00E82E63">
              <w:t>La mission d’examen porte sur un jeu complet d’états financiers</w:t>
            </w:r>
            <w:r>
              <w:t xml:space="preserve"> </w:t>
            </w:r>
            <w:r w:rsidR="00F4545E">
              <w:t xml:space="preserve">d’une </w:t>
            </w:r>
            <w:r w:rsidR="00FD57CE" w:rsidRPr="001E0969">
              <w:rPr>
                <w:b/>
                <w:bCs/>
              </w:rPr>
              <w:t>entreprise sans personnalité morale</w:t>
            </w:r>
            <w:r w:rsidR="00722EFD" w:rsidRPr="00E82E63">
              <w:t xml:space="preserve"> qui détient </w:t>
            </w:r>
            <w:r w:rsidR="00722EFD" w:rsidRPr="001E0969">
              <w:rPr>
                <w:b/>
                <w:bCs/>
              </w:rPr>
              <w:t>un seul permis</w:t>
            </w:r>
            <w:r w:rsidR="00722EFD">
              <w:t xml:space="preserve"> </w:t>
            </w:r>
            <w:r>
              <w:t xml:space="preserve">et qui n’a </w:t>
            </w:r>
            <w:r w:rsidRPr="001E0969">
              <w:rPr>
                <w:b/>
                <w:bCs/>
              </w:rPr>
              <w:t>que des activités de garde subventionnée</w:t>
            </w:r>
            <w:r w:rsidRPr="00E82E63">
              <w:t>.</w:t>
            </w:r>
            <w:r w:rsidR="000F694E">
              <w:t xml:space="preserve"> </w:t>
            </w:r>
            <w:r w:rsidR="0035572A">
              <w:t xml:space="preserve">Se référer plutôt à </w:t>
            </w:r>
            <w:r w:rsidR="0035572A" w:rsidRPr="001C3C02">
              <w:rPr>
                <w:b/>
                <w:bCs/>
              </w:rPr>
              <w:t>l’annexe G lorsque l’entité détient plusieurs permis</w:t>
            </w:r>
            <w:r w:rsidR="0035572A">
              <w:t xml:space="preserve">. </w:t>
            </w:r>
            <w:r w:rsidR="0035572A" w:rsidRPr="00021577">
              <w:t xml:space="preserve">Si l’entité a été </w:t>
            </w:r>
            <w:r w:rsidR="0035572A" w:rsidRPr="001C3C02">
              <w:rPr>
                <w:b/>
                <w:bCs/>
              </w:rPr>
              <w:t>convertie</w:t>
            </w:r>
            <w:r w:rsidR="0035572A" w:rsidRPr="00021577">
              <w:t xml:space="preserve"> en garderie subventionnée dans l’année se référer plutôt à </w:t>
            </w:r>
            <w:r w:rsidR="0035572A" w:rsidRPr="001C3C02">
              <w:rPr>
                <w:b/>
                <w:bCs/>
              </w:rPr>
              <w:t>l’annexe F.</w:t>
            </w:r>
          </w:p>
          <w:p w14:paraId="5F563C25" w14:textId="090B621A" w:rsidR="00B7674E" w:rsidRDefault="00E82E63" w:rsidP="0015251C">
            <w:pPr>
              <w:numPr>
                <w:ilvl w:val="0"/>
                <w:numId w:val="10"/>
              </w:numPr>
              <w:jc w:val="both"/>
            </w:pPr>
            <w:r w:rsidRPr="00E82E63">
              <w:t xml:space="preserve">Le référentiel d’information financière applicable est </w:t>
            </w:r>
            <w:r w:rsidR="00364099">
              <w:t xml:space="preserve">la Partie II du Manuel de CPA Canada – Comptabilité – Normes comptables canadiennes pour les entreprises à capital fermé. </w:t>
            </w:r>
          </w:p>
          <w:p w14:paraId="02C614A7" w14:textId="13065B3A" w:rsidR="00BC14FD" w:rsidRDefault="008240DC" w:rsidP="0015251C">
            <w:pPr>
              <w:numPr>
                <w:ilvl w:val="0"/>
                <w:numId w:val="10"/>
              </w:numPr>
              <w:jc w:val="both"/>
            </w:pPr>
            <w:r w:rsidRPr="008240DC">
              <w:t>Il n’existe pas d’incertitude significative liée à des événements ou situations susceptibles de jeter un doute important sur la capacité de l’entité à poursuivre son exploitation.</w:t>
            </w:r>
          </w:p>
          <w:p w14:paraId="377E7822" w14:textId="61808E6D" w:rsidR="00E82E63" w:rsidRPr="00E82E63" w:rsidRDefault="00E82E63" w:rsidP="00E52416">
            <w:pPr>
              <w:numPr>
                <w:ilvl w:val="0"/>
                <w:numId w:val="10"/>
              </w:numPr>
              <w:jc w:val="both"/>
            </w:pPr>
            <w:r w:rsidRPr="00E82E63">
              <w:t>Les personnes responsables de la surveillance du processus d’information financière ne sont pas les mêmes que celles qui sont responsables de leur préparation.</w:t>
            </w:r>
          </w:p>
        </w:tc>
      </w:tr>
    </w:tbl>
    <w:p w14:paraId="12DF51AF" w14:textId="77777777" w:rsidR="00E82E63" w:rsidRPr="00E82E63" w:rsidRDefault="00E82E63" w:rsidP="00E82E63">
      <w:pPr>
        <w:rPr>
          <w:b/>
          <w:bCs/>
        </w:rPr>
      </w:pPr>
    </w:p>
    <w:p w14:paraId="1C4D5F99" w14:textId="77777777" w:rsidR="00E82E63" w:rsidRPr="00E82E63" w:rsidRDefault="00E82E63" w:rsidP="00E52416">
      <w:pPr>
        <w:jc w:val="both"/>
        <w:rPr>
          <w:b/>
          <w:bCs/>
        </w:rPr>
      </w:pPr>
      <w:r w:rsidRPr="00E82E63">
        <w:rPr>
          <w:b/>
          <w:bCs/>
        </w:rPr>
        <w:t>RAPPORT DE MISSION D’EXAMEN DU PROFESSIONNEL EN EXERCICE INDÉPENDANT</w:t>
      </w:r>
    </w:p>
    <w:p w14:paraId="5F592CD3" w14:textId="04063BC9" w:rsidR="00E82E63" w:rsidRPr="00E82E63" w:rsidRDefault="00E82E63" w:rsidP="00E52416">
      <w:pPr>
        <w:jc w:val="both"/>
      </w:pPr>
      <w:r w:rsidRPr="00E82E63">
        <w:t>Au propriétaire de [nom de l’entité],</w:t>
      </w:r>
    </w:p>
    <w:p w14:paraId="4F56D1BE" w14:textId="7F5B5CE9" w:rsidR="00E52416" w:rsidRDefault="00E82E63" w:rsidP="00E52416">
      <w:pPr>
        <w:jc w:val="both"/>
      </w:pPr>
      <w:r w:rsidRPr="00E82E63">
        <w:t xml:space="preserve">Nous avons effectué l’examen des états financiers de [nom de </w:t>
      </w:r>
      <w:r w:rsidR="00AE2192" w:rsidRPr="00E82E63">
        <w:t>l’e</w:t>
      </w:r>
      <w:r w:rsidR="00AE2192">
        <w:t>ntité</w:t>
      </w:r>
      <w:r w:rsidRPr="00E82E63">
        <w:t>] (ci-après « l’entreprise »), qui comprennent le bilan au 31 mars 2026, et les états des résultats, de la variation des capitaux propres et des flux de trésorerie pour l’exercice terminé à cette date, ainsi que les notes aux états financiers, y compris le résumé des principales méthodes comptables, et les annexes.</w:t>
      </w:r>
    </w:p>
    <w:p w14:paraId="5FB33030" w14:textId="045056B8" w:rsidR="00E82E63" w:rsidRPr="00E82E63" w:rsidRDefault="00E82E63" w:rsidP="00F274FD">
      <w:pPr>
        <w:rPr>
          <w:b/>
        </w:rPr>
      </w:pPr>
      <w:r w:rsidRPr="00E82E63">
        <w:rPr>
          <w:b/>
        </w:rPr>
        <w:t>Responsabilité de la direction à l’égard des états financiers </w:t>
      </w:r>
    </w:p>
    <w:p w14:paraId="784C7A60" w14:textId="77777777" w:rsidR="00E82E63" w:rsidRDefault="00E82E63" w:rsidP="00E52416">
      <w:pPr>
        <w:jc w:val="both"/>
      </w:pPr>
      <w:r w:rsidRPr="00E82E63">
        <w:t>La direction est responsable de la préparation et de la présentation fidèle des états financiers conformément aux normes comptables canadiennes pour les entreprises à capital fermé, ainsi que du contrôle interne qu’elle considère comme nécessaire pour permettre la préparation d’états financiers exempts d’anomalies significatives, que celles-ci résultent de fraudes ou d’erreurs.</w:t>
      </w:r>
    </w:p>
    <w:p w14:paraId="7290CC14" w14:textId="191B8200" w:rsidR="00E82E63" w:rsidRPr="00E82E63" w:rsidRDefault="00E82E63" w:rsidP="00E52416">
      <w:pPr>
        <w:jc w:val="both"/>
        <w:rPr>
          <w:b/>
        </w:rPr>
      </w:pPr>
      <w:r w:rsidRPr="00E82E63">
        <w:rPr>
          <w:b/>
        </w:rPr>
        <w:t>Responsabilité du professionnel en exercice à l’égard de l’examen des états financiers</w:t>
      </w:r>
    </w:p>
    <w:p w14:paraId="37F2194C" w14:textId="77777777" w:rsidR="00E82E63" w:rsidRPr="00E82E63" w:rsidRDefault="00E82E63" w:rsidP="00E52416">
      <w:pPr>
        <w:jc w:val="both"/>
      </w:pPr>
      <w:r w:rsidRPr="00E82E63">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5DC1402A" w14:textId="77777777" w:rsidR="00E82E63" w:rsidRPr="00E82E63" w:rsidRDefault="00E82E63" w:rsidP="00E52416">
      <w:pPr>
        <w:jc w:val="both"/>
      </w:pPr>
      <w:r w:rsidRPr="00E82E63">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l’entreprise, selon le cas, ainsi qu’en des procédures analytiques, et évalue les éléments probants obtenus.</w:t>
      </w:r>
    </w:p>
    <w:p w14:paraId="59C77701" w14:textId="77777777" w:rsidR="00E82E63" w:rsidRDefault="00E82E63" w:rsidP="00E52416">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676A3E5F" w14:textId="77777777" w:rsidR="00E82E63" w:rsidRPr="00E82E63" w:rsidRDefault="00E82E63" w:rsidP="00E52416">
      <w:pPr>
        <w:jc w:val="both"/>
        <w:rPr>
          <w:b/>
          <w:bCs/>
        </w:rPr>
      </w:pPr>
      <w:r w:rsidRPr="00E82E63">
        <w:rPr>
          <w:b/>
          <w:bCs/>
        </w:rPr>
        <w:t>Conclusion</w:t>
      </w:r>
    </w:p>
    <w:p w14:paraId="71E79D8C" w14:textId="5946F527" w:rsidR="00E82E63" w:rsidRPr="00E82E63" w:rsidRDefault="00E82E63" w:rsidP="00E52416">
      <w:pPr>
        <w:jc w:val="both"/>
      </w:pPr>
      <w:r w:rsidRPr="00E82E63">
        <w:t xml:space="preserve">Au cours de notre examen, nous n’avons rien relevé qui nous porte à croire que les états financiers ne donnent pas, dans tous leurs aspects significatifs, une image fidèle de la situation financière de [nom de </w:t>
      </w:r>
      <w:r w:rsidR="000A6758" w:rsidRPr="00E82E63">
        <w:t>l’</w:t>
      </w:r>
      <w:r w:rsidR="000A6758">
        <w:t>entité</w:t>
      </w:r>
      <w:r w:rsidRPr="00E82E63">
        <w:t xml:space="preserve">] au 31 mars 2026, ainsi que des résultats de son exploitation et de ses flux de trésorerie pour l’exercice </w:t>
      </w:r>
      <w:r w:rsidR="008C6F8F">
        <w:t>terminé</w:t>
      </w:r>
      <w:r w:rsidR="008C6F8F" w:rsidRPr="00E82E63">
        <w:t xml:space="preserve"> </w:t>
      </w:r>
      <w:r w:rsidRPr="00E82E63">
        <w:t xml:space="preserve">à cette date, conformément aux normes comptables canadiennes pour les entreprises à capital fermé. </w:t>
      </w:r>
    </w:p>
    <w:p w14:paraId="5D93F84C" w14:textId="77777777" w:rsidR="00E82E63" w:rsidRPr="00E82E63" w:rsidRDefault="00E82E63" w:rsidP="00E52416">
      <w:pPr>
        <w:jc w:val="both"/>
      </w:pPr>
    </w:p>
    <w:p w14:paraId="10A95FF1" w14:textId="77777777" w:rsidR="00E82E63" w:rsidRPr="00E82E63" w:rsidRDefault="00E82E63" w:rsidP="00E52416">
      <w:pPr>
        <w:jc w:val="both"/>
        <w:rPr>
          <w:i/>
          <w:iCs/>
          <w:vertAlign w:val="superscript"/>
        </w:rPr>
      </w:pPr>
      <w:r w:rsidRPr="00E82E63">
        <w:t>[Signature du professionnel en exercice]</w:t>
      </w:r>
      <w:r w:rsidRPr="00E82E63">
        <w:rPr>
          <w:i/>
          <w:iCs/>
          <w:vertAlign w:val="superscript"/>
        </w:rPr>
        <w:footnoteReference w:id="4"/>
      </w:r>
    </w:p>
    <w:p w14:paraId="4CD25C58" w14:textId="77777777" w:rsidR="00E82E63" w:rsidRPr="00E82E63" w:rsidRDefault="00E82E63" w:rsidP="00E52416">
      <w:pPr>
        <w:jc w:val="both"/>
      </w:pPr>
      <w:r w:rsidRPr="00E82E63">
        <w:t xml:space="preserve">[Date du rapport du professionnel en exercice] </w:t>
      </w:r>
    </w:p>
    <w:p w14:paraId="3D2D73DC" w14:textId="77777777" w:rsidR="00E82E63" w:rsidRPr="00E82E63" w:rsidRDefault="00E82E63" w:rsidP="00E52416">
      <w:pPr>
        <w:jc w:val="both"/>
      </w:pPr>
      <w:r w:rsidRPr="00E82E63">
        <w:t>[Adresse du professionnel en exercice]</w:t>
      </w:r>
    </w:p>
    <w:p w14:paraId="13C29B3D" w14:textId="77777777" w:rsidR="00E82E63" w:rsidRPr="00E82E63" w:rsidRDefault="00E82E63" w:rsidP="00E82E63">
      <w:pPr>
        <w:rPr>
          <w:b/>
        </w:rPr>
      </w:pPr>
      <w:r w:rsidRPr="00E82E63">
        <w:rPr>
          <w:b/>
        </w:rPr>
        <w:br w:type="page"/>
      </w:r>
    </w:p>
    <w:p w14:paraId="087FC182" w14:textId="4EBCA1BC" w:rsidR="00E7540B" w:rsidRDefault="00E82E63" w:rsidP="007F1ECA">
      <w:pPr>
        <w:pStyle w:val="Titre2"/>
        <w:jc w:val="both"/>
      </w:pPr>
      <w:bookmarkStart w:id="24" w:name="_Toc228878218"/>
      <w:bookmarkEnd w:id="0"/>
      <w:r w:rsidRPr="00E82E63">
        <w:t>Annexe D</w:t>
      </w:r>
      <w:r w:rsidR="00B7521A">
        <w:t xml:space="preserve"> - </w:t>
      </w:r>
      <w:r w:rsidRPr="00E82E63">
        <w:t xml:space="preserve">GARDERIES SUBVENTIONNÉES </w:t>
      </w:r>
      <w:r w:rsidR="00784105">
        <w:t>(</w:t>
      </w:r>
      <w:r w:rsidR="00784105" w:rsidRPr="00277A90">
        <w:rPr>
          <w:b/>
          <w:bCs/>
        </w:rPr>
        <w:t>GS</w:t>
      </w:r>
      <w:r w:rsidR="00784105">
        <w:t xml:space="preserve">) </w:t>
      </w:r>
      <w:r w:rsidR="00F40BAB">
        <w:t xml:space="preserve">AYANT </w:t>
      </w:r>
      <w:r w:rsidR="00F40BAB" w:rsidRPr="00277A90">
        <w:rPr>
          <w:b/>
          <w:bCs/>
        </w:rPr>
        <w:t>UN SEUL PERMIS</w:t>
      </w:r>
      <w:r w:rsidR="00A612DA">
        <w:t xml:space="preserve">, </w:t>
      </w:r>
      <w:r w:rsidRPr="00E82E63">
        <w:t>SOUS FORME JURIDIQUE DE SOCIÉTÉ EN NOM COLLECTIF</w:t>
      </w:r>
      <w:r w:rsidR="008A1C76">
        <w:t xml:space="preserve"> (</w:t>
      </w:r>
      <w:r w:rsidR="008A1C76" w:rsidRPr="00277A90">
        <w:rPr>
          <w:b/>
          <w:bCs/>
        </w:rPr>
        <w:t>SENC</w:t>
      </w:r>
      <w:r w:rsidR="008A1C76">
        <w:t>)</w:t>
      </w:r>
      <w:r w:rsidRPr="00E82E63">
        <w:t xml:space="preserve"> POUR LES ENTREPRISES À CAPITAL FERMÉ </w:t>
      </w:r>
      <w:r w:rsidR="008A1C76">
        <w:t>(</w:t>
      </w:r>
      <w:r w:rsidR="008A1C76" w:rsidRPr="00277A90">
        <w:rPr>
          <w:b/>
          <w:bCs/>
        </w:rPr>
        <w:t>ECF</w:t>
      </w:r>
      <w:r w:rsidR="008A1C76">
        <w:t>)</w:t>
      </w:r>
      <w:bookmarkEnd w:id="24"/>
    </w:p>
    <w:p w14:paraId="03F71B60" w14:textId="48EEB417" w:rsidR="00E82E63" w:rsidRPr="00E82E63" w:rsidRDefault="002B1AA9" w:rsidP="00A629F4">
      <w:pPr>
        <w:jc w:val="both"/>
        <w:rPr>
          <w:b/>
          <w:bCs/>
        </w:rPr>
      </w:pPr>
      <w:r>
        <w:rPr>
          <w:b/>
          <w:bCs/>
        </w:rPr>
        <w:t xml:space="preserve">RAPPORT SUR DES </w:t>
      </w:r>
      <w:r w:rsidR="00E82E63" w:rsidRPr="00E82E63">
        <w:rPr>
          <w:b/>
          <w:bCs/>
        </w:rPr>
        <w:t xml:space="preserve">ÉTATS FINANCIERS </w:t>
      </w:r>
      <w:r w:rsidR="0079308C">
        <w:rPr>
          <w:b/>
          <w:bCs/>
        </w:rPr>
        <w:t xml:space="preserve">ÉTABLIS SELON LES </w:t>
      </w:r>
      <w:r w:rsidR="00433E5E" w:rsidRPr="009C66E3">
        <w:rPr>
          <w:b/>
          <w:bCs/>
        </w:rPr>
        <w:t>NORMES COMPTABLES CANADIENNES POUR LES ENTREPRISES À CAPITAL FERMÉ</w:t>
      </w:r>
      <w:r w:rsidR="00433E5E">
        <w:rPr>
          <w:b/>
        </w:rPr>
        <w:t xml:space="preserve"> (</w:t>
      </w:r>
      <w:r w:rsidR="0079308C">
        <w:rPr>
          <w:b/>
          <w:bCs/>
        </w:rPr>
        <w:t>NCECF</w:t>
      </w:r>
      <w:r w:rsidR="00433E5E">
        <w:rPr>
          <w:b/>
          <w:bCs/>
        </w:rPr>
        <w:t>)</w:t>
      </w:r>
      <w:r w:rsidR="007E6882">
        <w:rPr>
          <w:b/>
          <w:bCs/>
        </w:rPr>
        <w:t xml:space="preserve"> </w:t>
      </w:r>
    </w:p>
    <w:tbl>
      <w:tblPr>
        <w:tblW w:w="9942" w:type="dxa"/>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942"/>
      </w:tblGrid>
      <w:tr w:rsidR="00E82E63" w:rsidRPr="00E82E63" w14:paraId="54DB8505" w14:textId="77777777" w:rsidTr="00E82E63">
        <w:trPr>
          <w:trHeight w:val="2401"/>
        </w:trPr>
        <w:tc>
          <w:tcPr>
            <w:tcW w:w="9942" w:type="dxa"/>
            <w:tcBorders>
              <w:top w:val="single" w:sz="18" w:space="0" w:color="36A9E1"/>
              <w:left w:val="single" w:sz="18" w:space="0" w:color="36A9E1"/>
              <w:bottom w:val="single" w:sz="18" w:space="0" w:color="36A9E1"/>
              <w:right w:val="single" w:sz="18" w:space="0" w:color="36A9E1"/>
            </w:tcBorders>
          </w:tcPr>
          <w:p w14:paraId="2A453E13" w14:textId="1595ACE9" w:rsidR="00E82E63" w:rsidRDefault="006B36E4" w:rsidP="00A629F4">
            <w:pPr>
              <w:pStyle w:val="Paragraphedeliste"/>
              <w:spacing w:line="276" w:lineRule="auto"/>
              <w:ind w:left="360"/>
            </w:pPr>
            <w:bookmarkStart w:id="25" w:name="_Hlk117863814"/>
            <w:r>
              <w:br/>
            </w:r>
            <w:r w:rsidR="00E82E63" w:rsidRPr="00E82E63">
              <w:t>Aux fins de l’exemple ci-dessous, on suppose les circonstances suivantes</w:t>
            </w:r>
            <w:r w:rsidR="00BD69B2">
              <w:t> :</w:t>
            </w:r>
            <w:r w:rsidR="00E82E63" w:rsidRPr="00E82E63">
              <w:t xml:space="preserve"> </w:t>
            </w:r>
          </w:p>
          <w:p w14:paraId="2A441436" w14:textId="77777777" w:rsidR="00B84C5B" w:rsidRPr="00E82E63" w:rsidRDefault="00B84C5B" w:rsidP="00A629F4">
            <w:pPr>
              <w:pStyle w:val="Paragraphedeliste"/>
              <w:spacing w:line="276" w:lineRule="auto"/>
            </w:pPr>
          </w:p>
          <w:p w14:paraId="191D735F" w14:textId="77777777" w:rsidR="009846D8" w:rsidRPr="009846D8" w:rsidRDefault="007F323C" w:rsidP="00A629F4">
            <w:pPr>
              <w:numPr>
                <w:ilvl w:val="0"/>
                <w:numId w:val="9"/>
              </w:numPr>
              <w:spacing w:after="160" w:line="259" w:lineRule="auto"/>
            </w:pPr>
            <w:r w:rsidRPr="00E82E63">
              <w:t>La mission d’examen porte sur un jeu complet d’états financiers</w:t>
            </w:r>
            <w:r>
              <w:t xml:space="preserve"> d’une </w:t>
            </w:r>
            <w:r>
              <w:rPr>
                <w:b/>
                <w:bCs/>
              </w:rPr>
              <w:t>société en nom collectif</w:t>
            </w:r>
            <w:r w:rsidRPr="00E82E63">
              <w:t xml:space="preserve"> qui détient </w:t>
            </w:r>
            <w:r w:rsidRPr="00C1351C">
              <w:rPr>
                <w:b/>
                <w:bCs/>
              </w:rPr>
              <w:t>un seul permis</w:t>
            </w:r>
            <w:r>
              <w:t xml:space="preserve"> et qui n’a </w:t>
            </w:r>
            <w:r w:rsidRPr="00C1351C">
              <w:rPr>
                <w:b/>
                <w:bCs/>
              </w:rPr>
              <w:t>que des activités de garde subventionnée</w:t>
            </w:r>
            <w:r w:rsidR="00E7540B">
              <w:rPr>
                <w:b/>
                <w:bCs/>
              </w:rPr>
              <w:t xml:space="preserve">. </w:t>
            </w:r>
            <w:r>
              <w:t xml:space="preserve"> </w:t>
            </w:r>
            <w:r w:rsidR="00E7540B">
              <w:t xml:space="preserve">Se référer plutôt à </w:t>
            </w:r>
            <w:r w:rsidR="00E7540B" w:rsidRPr="001C3C02">
              <w:rPr>
                <w:b/>
                <w:bCs/>
              </w:rPr>
              <w:t>l’annexe G lorsque l’entité détient plusieurs permis</w:t>
            </w:r>
            <w:r w:rsidR="00E7540B">
              <w:t xml:space="preserve">. </w:t>
            </w:r>
            <w:r w:rsidR="00E7540B" w:rsidRPr="00021577">
              <w:t xml:space="preserve">Si l’entité a été </w:t>
            </w:r>
            <w:r w:rsidR="00E7540B" w:rsidRPr="001C3C02">
              <w:rPr>
                <w:b/>
                <w:bCs/>
              </w:rPr>
              <w:t>convertie</w:t>
            </w:r>
            <w:r w:rsidR="00E7540B" w:rsidRPr="00021577">
              <w:t xml:space="preserve"> en garderie subventionnée dans l’année se référer plutôt à </w:t>
            </w:r>
            <w:r w:rsidR="00E7540B" w:rsidRPr="001C3C02">
              <w:rPr>
                <w:b/>
                <w:bCs/>
              </w:rPr>
              <w:t>l’annexe F.</w:t>
            </w:r>
          </w:p>
          <w:p w14:paraId="6E278815" w14:textId="7EFBB360" w:rsidR="007F323C" w:rsidRDefault="007F323C" w:rsidP="00A629F4">
            <w:pPr>
              <w:numPr>
                <w:ilvl w:val="0"/>
                <w:numId w:val="9"/>
              </w:numPr>
              <w:spacing w:after="160" w:line="259" w:lineRule="auto"/>
            </w:pPr>
            <w:r w:rsidRPr="00E82E63">
              <w:t xml:space="preserve">Le référentiel d’information financière applicable est </w:t>
            </w:r>
            <w:r>
              <w:t xml:space="preserve">la Partie II du Manuel de CPA Canada – Comptabilité – Normes comptables canadiennes pour les entreprises à capital fermé. </w:t>
            </w:r>
          </w:p>
          <w:p w14:paraId="7D9C7746" w14:textId="77777777" w:rsidR="007F323C" w:rsidRDefault="00E82E63" w:rsidP="00E158FB">
            <w:pPr>
              <w:numPr>
                <w:ilvl w:val="0"/>
                <w:numId w:val="9"/>
              </w:numPr>
              <w:spacing w:after="160" w:line="259" w:lineRule="auto"/>
            </w:pPr>
            <w:r w:rsidRPr="00E82E63">
              <w:t>Il n’existe pas d’incertitude significative liée à des événements ou situations susceptibles de jeter un doute important sur la capacité de l’entité à poursuivre son exploitation.</w:t>
            </w:r>
          </w:p>
          <w:p w14:paraId="0BCD0F95" w14:textId="1F78E24D" w:rsidR="00E82E63" w:rsidRPr="00E82E63" w:rsidRDefault="00E158FB" w:rsidP="006B36E4">
            <w:pPr>
              <w:numPr>
                <w:ilvl w:val="0"/>
                <w:numId w:val="9"/>
              </w:numPr>
              <w:spacing w:after="160" w:line="259" w:lineRule="auto"/>
            </w:pPr>
            <w:r>
              <w:t xml:space="preserve">Les </w:t>
            </w:r>
            <w:r w:rsidRPr="00E82E63">
              <w:t>personnes responsables de la surveillance du processus d’information financière ne sont pas les mêmes que celles qui sont responsables de leur préparation.</w:t>
            </w:r>
          </w:p>
        </w:tc>
      </w:tr>
      <w:bookmarkEnd w:id="25"/>
    </w:tbl>
    <w:p w14:paraId="048AEC02" w14:textId="77777777" w:rsidR="00E82E63" w:rsidRPr="00E82E63" w:rsidRDefault="00E82E63" w:rsidP="00E82E63"/>
    <w:p w14:paraId="608CBE60" w14:textId="77777777" w:rsidR="00E82E63" w:rsidRPr="00E82E63" w:rsidRDefault="00E82E63" w:rsidP="009846D8">
      <w:pPr>
        <w:jc w:val="both"/>
        <w:rPr>
          <w:b/>
          <w:bCs/>
        </w:rPr>
      </w:pPr>
      <w:r w:rsidRPr="00E82E63">
        <w:rPr>
          <w:b/>
          <w:bCs/>
        </w:rPr>
        <w:t>RAPPORT DE MISSION D’EXAMEN DU PROFESSIONNEL EN EXERCICE INDÉPENDANT</w:t>
      </w:r>
    </w:p>
    <w:p w14:paraId="127044D1" w14:textId="0A2F539E" w:rsidR="00E82E63" w:rsidRPr="00E82E63" w:rsidRDefault="00E82E63" w:rsidP="009846D8">
      <w:pPr>
        <w:jc w:val="both"/>
      </w:pPr>
      <w:r w:rsidRPr="00E82E63">
        <w:t>Aux associés de [nom de l’entité],</w:t>
      </w:r>
    </w:p>
    <w:p w14:paraId="780CB487" w14:textId="2A78D3F9" w:rsidR="00E82E63" w:rsidRDefault="00E82E63" w:rsidP="009846D8">
      <w:pPr>
        <w:jc w:val="both"/>
      </w:pPr>
      <w:r w:rsidRPr="00E82E63">
        <w:t>Nous avons effectué l’examen des états financiers de [nom de</w:t>
      </w:r>
      <w:r w:rsidR="00AE2192">
        <w:t xml:space="preserve"> l’entité</w:t>
      </w:r>
      <w:r w:rsidRPr="00E82E63">
        <w:t xml:space="preserve">] (ci-après la « société »), qui comprennent le bilan au 31 mars 2026, et les états des résultats, de la variation </w:t>
      </w:r>
      <w:r w:rsidR="008C6360">
        <w:t>du capital</w:t>
      </w:r>
      <w:r w:rsidRPr="00E82E63">
        <w:t xml:space="preserve"> </w:t>
      </w:r>
      <w:r w:rsidR="008C6360">
        <w:t xml:space="preserve">des associés </w:t>
      </w:r>
      <w:r w:rsidRPr="00E82E63">
        <w:t>et des flux de trésorerie pour l’exercice terminé à cette date, ainsi que les notes aux états financiers, y compris le résumé des principales méthodes comptables, et les annexes.</w:t>
      </w:r>
    </w:p>
    <w:p w14:paraId="25A290B9" w14:textId="4F56F378" w:rsidR="00E82E63" w:rsidRPr="00E82E63" w:rsidRDefault="00E82E63" w:rsidP="00F274FD">
      <w:pPr>
        <w:rPr>
          <w:b/>
        </w:rPr>
      </w:pPr>
      <w:r w:rsidRPr="00E82E63">
        <w:rPr>
          <w:b/>
        </w:rPr>
        <w:t>Responsabilité de la direction à l’égard des états financiers </w:t>
      </w:r>
    </w:p>
    <w:p w14:paraId="6896C081" w14:textId="77777777" w:rsidR="00E82E63" w:rsidRDefault="00E82E63" w:rsidP="003D70A1">
      <w:pPr>
        <w:jc w:val="both"/>
      </w:pPr>
      <w:r w:rsidRPr="00E82E63">
        <w:t>La direction est responsable de la préparation et de la présentation fidèle des états financiers conformément aux normes comptables canadiennes pour les entreprises à capital fermé, ainsi que du contrôle interne qu’elle considère comme nécessaire pour permettre la préparation d’états financiers exempts d’anomalies significatives, que celles-ci résultent de fraudes ou d’erreurs.</w:t>
      </w:r>
    </w:p>
    <w:p w14:paraId="3DA8333B" w14:textId="55C728A5" w:rsidR="006B36E4" w:rsidRDefault="00E82E63" w:rsidP="003D70A1">
      <w:pPr>
        <w:jc w:val="both"/>
        <w:rPr>
          <w:b/>
        </w:rPr>
      </w:pPr>
      <w:r w:rsidRPr="00E82E63">
        <w:rPr>
          <w:b/>
        </w:rPr>
        <w:t>Responsabilité du professionnel en exercice à l’égard de l’examen des états financiers</w:t>
      </w:r>
    </w:p>
    <w:p w14:paraId="04F89D5D" w14:textId="024F7781" w:rsidR="00E82E63" w:rsidRPr="00E82E63" w:rsidRDefault="00E82E63" w:rsidP="003D70A1">
      <w:pPr>
        <w:jc w:val="both"/>
      </w:pPr>
      <w:r w:rsidRPr="00E82E63">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50B9AA63" w14:textId="77777777" w:rsidR="00E82E63" w:rsidRPr="00E82E63" w:rsidRDefault="00E82E63" w:rsidP="003D70A1">
      <w:pPr>
        <w:jc w:val="both"/>
      </w:pPr>
      <w:r w:rsidRPr="00E82E63">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la société, selon le cas, ainsi qu’en des procédures analytiques, et évalue les éléments probants obtenus.</w:t>
      </w:r>
    </w:p>
    <w:p w14:paraId="7DCA7B3E" w14:textId="77777777" w:rsidR="00E82E63" w:rsidRDefault="00E82E63" w:rsidP="003D70A1">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45271BD7" w14:textId="77777777" w:rsidR="00E82E63" w:rsidRPr="00E82E63" w:rsidRDefault="00E82E63" w:rsidP="003D70A1">
      <w:pPr>
        <w:jc w:val="both"/>
      </w:pPr>
      <w:r w:rsidRPr="00E82E63">
        <w:rPr>
          <w:b/>
          <w:bCs/>
        </w:rPr>
        <w:t>Conclusion</w:t>
      </w:r>
    </w:p>
    <w:p w14:paraId="0863DE2D" w14:textId="1C4900FF" w:rsidR="00E82E63" w:rsidRPr="00E82E63" w:rsidRDefault="00E82E63" w:rsidP="003D70A1">
      <w:pPr>
        <w:jc w:val="both"/>
      </w:pPr>
      <w:r w:rsidRPr="00E82E63">
        <w:t>Au cours de notre examen, nous n’avons rien relevé qui nous porte à croire que les états financiers ne donnent pas, dans tous leurs aspects significatifs, une image fidèle de la situation financière de [nom de l</w:t>
      </w:r>
      <w:r w:rsidR="000A6758">
        <w:t>’entité</w:t>
      </w:r>
      <w:r w:rsidRPr="00E82E63">
        <w:t xml:space="preserve">] au 31 mars 2026, ainsi que des résultats de son exploitation et de ses flux de trésorerie pour l’exercice </w:t>
      </w:r>
      <w:r w:rsidR="008C6F8F">
        <w:t>terminé</w:t>
      </w:r>
      <w:r w:rsidR="008C6F8F" w:rsidRPr="00E82E63">
        <w:t xml:space="preserve"> </w:t>
      </w:r>
      <w:r w:rsidRPr="00E82E63">
        <w:t>à cette date, conformément aux normes comptables canadiennes pour les entreprises à capital fermé.</w:t>
      </w:r>
    </w:p>
    <w:p w14:paraId="7A4F1A5E" w14:textId="77777777" w:rsidR="00E82E63" w:rsidRPr="00E82E63" w:rsidRDefault="00E82E63" w:rsidP="003D70A1">
      <w:pPr>
        <w:jc w:val="both"/>
      </w:pPr>
    </w:p>
    <w:p w14:paraId="47B386ED" w14:textId="77777777" w:rsidR="00E82E63" w:rsidRPr="00E82E63" w:rsidRDefault="00E82E63" w:rsidP="003D70A1">
      <w:pPr>
        <w:jc w:val="both"/>
      </w:pPr>
      <w:r w:rsidRPr="00E82E63">
        <w:t>[Signature du professionnel en exercice]</w:t>
      </w:r>
      <w:r w:rsidRPr="00E82E63">
        <w:rPr>
          <w:i/>
          <w:iCs/>
          <w:vertAlign w:val="superscript"/>
        </w:rPr>
        <w:footnoteReference w:id="5"/>
      </w:r>
    </w:p>
    <w:p w14:paraId="4D4C18D3" w14:textId="77777777" w:rsidR="00E82E63" w:rsidRPr="00E82E63" w:rsidRDefault="00E82E63" w:rsidP="003D70A1">
      <w:pPr>
        <w:jc w:val="both"/>
      </w:pPr>
      <w:r w:rsidRPr="00E82E63">
        <w:t xml:space="preserve">[Date du rapport du professionnel en exercice] </w:t>
      </w:r>
    </w:p>
    <w:p w14:paraId="7B61319D" w14:textId="77777777" w:rsidR="00E82E63" w:rsidRPr="00E82E63" w:rsidRDefault="00E82E63" w:rsidP="003D70A1">
      <w:pPr>
        <w:jc w:val="both"/>
      </w:pPr>
      <w:r w:rsidRPr="00E82E63">
        <w:t>[Adresse du professionnel en exercice]</w:t>
      </w:r>
    </w:p>
    <w:p w14:paraId="5AB94181" w14:textId="77777777" w:rsidR="00E82E63" w:rsidRPr="00E82E63" w:rsidRDefault="00E82E63" w:rsidP="00E82E63">
      <w:pPr>
        <w:rPr>
          <w:b/>
        </w:rPr>
      </w:pPr>
      <w:r w:rsidRPr="00E82E63">
        <w:rPr>
          <w:b/>
        </w:rPr>
        <w:br w:type="page"/>
      </w:r>
    </w:p>
    <w:p w14:paraId="66F043D5" w14:textId="742FF630" w:rsidR="00801B1A" w:rsidRDefault="00E82E63" w:rsidP="00335C8E">
      <w:pPr>
        <w:pStyle w:val="Titre2"/>
        <w:jc w:val="both"/>
      </w:pPr>
      <w:bookmarkStart w:id="26" w:name="_Toc228878219"/>
      <w:r w:rsidRPr="00E82E63">
        <w:t>Annexe E</w:t>
      </w:r>
      <w:r w:rsidR="00B7521A">
        <w:t xml:space="preserve"> - </w:t>
      </w:r>
      <w:r w:rsidRPr="00E82E63">
        <w:t>CENTRES DE LA PETITE ENFANCE</w:t>
      </w:r>
      <w:r w:rsidR="00282D9F">
        <w:t xml:space="preserve"> (</w:t>
      </w:r>
      <w:r w:rsidR="00282D9F" w:rsidRPr="00277A90">
        <w:rPr>
          <w:b/>
          <w:bCs/>
        </w:rPr>
        <w:t>CPE</w:t>
      </w:r>
      <w:r w:rsidR="00282D9F">
        <w:t>)</w:t>
      </w:r>
      <w:r w:rsidR="00B52810">
        <w:t xml:space="preserve">, AYANT </w:t>
      </w:r>
      <w:r w:rsidR="00B52810" w:rsidRPr="00277A90">
        <w:rPr>
          <w:b/>
          <w:bCs/>
        </w:rPr>
        <w:t>UN SEUL PERMIS</w:t>
      </w:r>
      <w:r w:rsidR="00B52810">
        <w:t>,</w:t>
      </w:r>
      <w:r w:rsidRPr="00E82E63">
        <w:t xml:space="preserve"> SOUS FORME JURIDIQUE DE COOPÉRATIVE </w:t>
      </w:r>
      <w:r w:rsidR="00DB5FC3">
        <w:t>(</w:t>
      </w:r>
      <w:r w:rsidR="00DB5FC3" w:rsidRPr="00277A90">
        <w:rPr>
          <w:b/>
          <w:bCs/>
        </w:rPr>
        <w:t>COOP OSBL</w:t>
      </w:r>
      <w:r w:rsidR="00DB5FC3">
        <w:t>)</w:t>
      </w:r>
      <w:bookmarkEnd w:id="26"/>
    </w:p>
    <w:p w14:paraId="692FD0C4" w14:textId="3F8185A1" w:rsidR="008C6FBC" w:rsidRPr="00E82E63" w:rsidRDefault="002B1AA9" w:rsidP="00801B1A">
      <w:pPr>
        <w:jc w:val="both"/>
        <w:rPr>
          <w:b/>
          <w:bCs/>
        </w:rPr>
      </w:pPr>
      <w:r>
        <w:rPr>
          <w:b/>
          <w:bCs/>
        </w:rPr>
        <w:t xml:space="preserve">RAPPORT SUR DES </w:t>
      </w:r>
      <w:r w:rsidR="00E82E63" w:rsidRPr="00E82E63">
        <w:rPr>
          <w:b/>
          <w:bCs/>
        </w:rPr>
        <w:t>ÉTATS FINANCIERS</w:t>
      </w:r>
      <w:r>
        <w:rPr>
          <w:b/>
          <w:bCs/>
        </w:rPr>
        <w:t xml:space="preserve"> </w:t>
      </w:r>
      <w:r>
        <w:rPr>
          <w:b/>
        </w:rPr>
        <w:t>ÉTABLIS</w:t>
      </w:r>
      <w:r w:rsidR="008C6FBC">
        <w:rPr>
          <w:b/>
        </w:rPr>
        <w:t xml:space="preserve"> SELON LES </w:t>
      </w:r>
      <w:r w:rsidR="009A5904" w:rsidRPr="0026498D">
        <w:rPr>
          <w:b/>
          <w:bCs/>
        </w:rPr>
        <w:t>NORMES COMPTABLES CANADIENNES POUR LES ORGANISMES SANS BUT LUCRATIF</w:t>
      </w:r>
      <w:r w:rsidR="009A5904">
        <w:rPr>
          <w:b/>
        </w:rPr>
        <w:t xml:space="preserve"> (</w:t>
      </w:r>
      <w:r w:rsidR="008C6FBC">
        <w:rPr>
          <w:b/>
        </w:rPr>
        <w:t>NCOSBL</w:t>
      </w:r>
      <w:r w:rsidR="009A5904">
        <w:rPr>
          <w:b/>
        </w:rPr>
        <w:t>)</w:t>
      </w:r>
    </w:p>
    <w:tbl>
      <w:tblPr>
        <w:tblW w:w="9943" w:type="dxa"/>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943"/>
      </w:tblGrid>
      <w:tr w:rsidR="00E82E63" w:rsidRPr="00E82E63" w14:paraId="79B6E567" w14:textId="77777777" w:rsidTr="00E82E63">
        <w:trPr>
          <w:trHeight w:val="3711"/>
        </w:trPr>
        <w:tc>
          <w:tcPr>
            <w:tcW w:w="9943" w:type="dxa"/>
            <w:tcBorders>
              <w:top w:val="single" w:sz="18" w:space="0" w:color="36A9E1"/>
              <w:left w:val="single" w:sz="18" w:space="0" w:color="36A9E1"/>
              <w:bottom w:val="single" w:sz="18" w:space="0" w:color="36A9E1"/>
              <w:right w:val="single" w:sz="18" w:space="0" w:color="36A9E1"/>
            </w:tcBorders>
            <w:hideMark/>
          </w:tcPr>
          <w:p w14:paraId="65A29FFD" w14:textId="77777777" w:rsidR="00E82E63" w:rsidRPr="00E82E63" w:rsidRDefault="00E82E63" w:rsidP="0079308C">
            <w:pPr>
              <w:spacing w:after="160" w:line="259" w:lineRule="auto"/>
            </w:pPr>
          </w:p>
          <w:p w14:paraId="2AE09D74" w14:textId="6789F224" w:rsidR="00E82E63" w:rsidRPr="00E82E63" w:rsidRDefault="00E82E63" w:rsidP="00801B1A">
            <w:pPr>
              <w:spacing w:after="160" w:line="259" w:lineRule="auto"/>
              <w:ind w:left="360"/>
            </w:pPr>
            <w:r w:rsidRPr="00E82E63">
              <w:t>Aux fins de l’exemple ci-dessous, on suppose les circonstances suivantes</w:t>
            </w:r>
            <w:r w:rsidR="00BD69B2">
              <w:t> :</w:t>
            </w:r>
            <w:r w:rsidRPr="00E82E63">
              <w:t xml:space="preserve"> </w:t>
            </w:r>
          </w:p>
          <w:p w14:paraId="06053E3D" w14:textId="546F2AEA" w:rsidR="00E82E63" w:rsidRPr="00E82E63" w:rsidRDefault="00E82E63" w:rsidP="00801B1A">
            <w:pPr>
              <w:numPr>
                <w:ilvl w:val="0"/>
                <w:numId w:val="7"/>
              </w:numPr>
              <w:spacing w:after="160" w:line="259" w:lineRule="auto"/>
            </w:pPr>
            <w:r w:rsidRPr="00E82E63">
              <w:t xml:space="preserve">Le </w:t>
            </w:r>
            <w:r w:rsidR="007C7D9C" w:rsidRPr="00E82E63">
              <w:t>ministère</w:t>
            </w:r>
            <w:r w:rsidRPr="00E82E63">
              <w:t xml:space="preserve"> </w:t>
            </w:r>
            <w:r w:rsidR="00EA6D92">
              <w:t>de la Famille</w:t>
            </w:r>
            <w:r w:rsidRPr="00E82E63">
              <w:t xml:space="preserve"> exige que les coopératives préparent leurs états financiers (EF) conformément aux N</w:t>
            </w:r>
            <w:r w:rsidR="009A5904">
              <w:t>COSBL</w:t>
            </w:r>
            <w:r w:rsidRPr="00E82E63">
              <w:t>. Les EF de la coopérative ne sont pas conformes à l’article 131 de la Loi sur les coopératives du Québec.</w:t>
            </w:r>
          </w:p>
          <w:p w14:paraId="184DD7E2" w14:textId="0F369AA3" w:rsidR="00DA55DF" w:rsidRDefault="00DA55DF" w:rsidP="00DA55DF">
            <w:pPr>
              <w:pStyle w:val="Paragraphedeliste"/>
              <w:numPr>
                <w:ilvl w:val="0"/>
                <w:numId w:val="7"/>
              </w:numPr>
            </w:pPr>
            <w:r w:rsidRPr="0079308C">
              <w:t>Le référentiel d’information financière applicable est la Partie III du Manuel de CPA Canada – Comptabilité – Normes comptables canadiennes pour les organismes sans but lucratif</w:t>
            </w:r>
            <w:r>
              <w:t>.</w:t>
            </w:r>
          </w:p>
          <w:p w14:paraId="5313865A" w14:textId="77777777" w:rsidR="00FA0A6E" w:rsidRDefault="00FA0A6E" w:rsidP="00FA0A6E">
            <w:pPr>
              <w:numPr>
                <w:ilvl w:val="0"/>
                <w:numId w:val="7"/>
              </w:numPr>
              <w:spacing w:after="160" w:line="259" w:lineRule="auto"/>
            </w:pPr>
            <w:r w:rsidRPr="00E82E63">
              <w:t>La direction n’a pas le choix du référentiel d’information financière ((l’alinéa 13 b) de la NCA 800 ne s’applique pas).</w:t>
            </w:r>
          </w:p>
          <w:p w14:paraId="12316E7F" w14:textId="0FE44556" w:rsidR="00E82E63" w:rsidRPr="00E82E63" w:rsidRDefault="00E82E63" w:rsidP="00801B1A">
            <w:pPr>
              <w:numPr>
                <w:ilvl w:val="0"/>
                <w:numId w:val="7"/>
              </w:numPr>
              <w:spacing w:after="160" w:line="259" w:lineRule="auto"/>
            </w:pPr>
            <w:r w:rsidRPr="00E82E63">
              <w:t>Il n’existe pas d’incertitude significative liée à des événements ou situations susceptibles de jeter un doute important sur la capacité de l’entité à poursuivre son exploitation.</w:t>
            </w:r>
          </w:p>
          <w:p w14:paraId="08387A42" w14:textId="77777777" w:rsidR="00E82E63" w:rsidRPr="00E82E63" w:rsidRDefault="00E82E63" w:rsidP="00D43F0D">
            <w:pPr>
              <w:numPr>
                <w:ilvl w:val="0"/>
                <w:numId w:val="7"/>
              </w:numPr>
              <w:spacing w:after="160" w:line="259" w:lineRule="auto"/>
            </w:pPr>
            <w:r w:rsidRPr="00E82E63">
              <w:t>Les personnes responsables de la surveillance du processus d’information financière ne sont pas les mêmes que celles qui sont responsables de leur préparation.</w:t>
            </w:r>
          </w:p>
        </w:tc>
      </w:tr>
    </w:tbl>
    <w:p w14:paraId="788B9FCB" w14:textId="77777777" w:rsidR="00E82E63" w:rsidRDefault="00E82E63" w:rsidP="00E82E63"/>
    <w:p w14:paraId="044F843B" w14:textId="77777777" w:rsidR="006B36E4" w:rsidRPr="00E82E63" w:rsidRDefault="006B36E4" w:rsidP="00E82E63"/>
    <w:p w14:paraId="1F7E26DC" w14:textId="77777777" w:rsidR="00E82E63" w:rsidRPr="00E82E63" w:rsidRDefault="00E82E63" w:rsidP="00D43F0D">
      <w:pPr>
        <w:jc w:val="both"/>
        <w:rPr>
          <w:b/>
        </w:rPr>
      </w:pPr>
      <w:r w:rsidRPr="00E82E63">
        <w:rPr>
          <w:b/>
        </w:rPr>
        <w:t>RAPPORT DE MISSION D’EXAMEN DU PROFESSIONNEL EN EXERCICE INDÉPENDANT</w:t>
      </w:r>
    </w:p>
    <w:p w14:paraId="45A57FFE" w14:textId="77471147" w:rsidR="00E82E63" w:rsidRPr="00E82E63" w:rsidRDefault="00E82E63" w:rsidP="00D43F0D">
      <w:pPr>
        <w:jc w:val="both"/>
      </w:pPr>
      <w:r w:rsidRPr="00E82E63">
        <w:t xml:space="preserve">Aux membres de [nom de </w:t>
      </w:r>
      <w:r w:rsidR="08DF9DEE">
        <w:t>la coopérative</w:t>
      </w:r>
      <w:r w:rsidRPr="00E82E63">
        <w:t>],</w:t>
      </w:r>
    </w:p>
    <w:p w14:paraId="792C0458" w14:textId="2A2B6742" w:rsidR="00E82E63" w:rsidRPr="00E82E63" w:rsidRDefault="00E82E63" w:rsidP="00D43F0D">
      <w:pPr>
        <w:jc w:val="both"/>
      </w:pPr>
      <w:r>
        <w:t>Nous avons effectué l’examen des états financiers de [nom de l</w:t>
      </w:r>
      <w:r w:rsidR="638B136D">
        <w:t>a coopérative</w:t>
      </w:r>
      <w:r>
        <w:t xml:space="preserve">] (ci-après la « coopérative »), qui comprennent le bilan au 31 mars 2026 et les états des résultats, de l’évolution de </w:t>
      </w:r>
      <w:r w:rsidR="00E3275E">
        <w:t xml:space="preserve">l’avoir </w:t>
      </w:r>
      <w:r>
        <w:t>net et des flux de trésorerie pour l’exercice terminé à cette date, ainsi que les notes aux états financiers, y compris le résumé des principales méthodes comptables, et les annexes.</w:t>
      </w:r>
    </w:p>
    <w:p w14:paraId="728DDC82" w14:textId="77777777" w:rsidR="00E82E63" w:rsidRPr="00E82E63" w:rsidRDefault="00E82E63" w:rsidP="00D43F0D">
      <w:pPr>
        <w:jc w:val="both"/>
        <w:rPr>
          <w:b/>
        </w:rPr>
      </w:pPr>
      <w:r w:rsidRPr="00E82E63">
        <w:rPr>
          <w:b/>
        </w:rPr>
        <w:t>Responsabilité de la direction à l’égard des états financiers</w:t>
      </w:r>
    </w:p>
    <w:p w14:paraId="1775AA18" w14:textId="2688DC31" w:rsidR="00E82E63" w:rsidRPr="00E82E63" w:rsidRDefault="00E82E63" w:rsidP="00D43F0D">
      <w:pPr>
        <w:jc w:val="both"/>
      </w:pPr>
      <w:r w:rsidRPr="00E82E63">
        <w:t xml:space="preserve">La direction est responsable de la préparation et de la présentation fidèle de ces états financiers conformément aux </w:t>
      </w:r>
      <w:r w:rsidR="009A5904">
        <w:t>n</w:t>
      </w:r>
      <w:r w:rsidRPr="00E82E63">
        <w:t>ormes comptables canadiennes pour les organismes sans but lucratif, ainsi que du contrôle interne qu’elle considère comme nécessaire pour permettre la préparation d’états financiers exempts d’anomalies significatives, que celles-ci résultent de fraudes ou d’erreurs.</w:t>
      </w:r>
    </w:p>
    <w:p w14:paraId="180B2101" w14:textId="77777777" w:rsidR="00E82E63" w:rsidRPr="00E82E63" w:rsidRDefault="00E82E63" w:rsidP="00D43F0D">
      <w:pPr>
        <w:jc w:val="both"/>
        <w:rPr>
          <w:b/>
        </w:rPr>
      </w:pPr>
      <w:r w:rsidRPr="00E82E63">
        <w:rPr>
          <w:b/>
        </w:rPr>
        <w:t>Responsabilité du professionnel en exercice à l’égard de l’examen des états financiers</w:t>
      </w:r>
    </w:p>
    <w:p w14:paraId="10556EB1" w14:textId="287B71CF" w:rsidR="00E82E63" w:rsidRPr="00E82E63" w:rsidRDefault="00E82E63" w:rsidP="00D43F0D">
      <w:pPr>
        <w:jc w:val="both"/>
      </w:pPr>
      <w:r w:rsidRPr="00E82E63">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38843579" w14:textId="77777777" w:rsidR="00E82E63" w:rsidRPr="00E82E63" w:rsidRDefault="00E82E63" w:rsidP="00D43F0D">
      <w:pPr>
        <w:jc w:val="both"/>
      </w:pPr>
      <w:r w:rsidRPr="00E82E63">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la coopérative, selon le cas, ainsi qu’en des procédures analytiques, et évalue les éléments probants obtenus.</w:t>
      </w:r>
    </w:p>
    <w:p w14:paraId="43042D23" w14:textId="77777777" w:rsidR="00E82E63" w:rsidRDefault="00E82E63" w:rsidP="00D43F0D">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12446AD0" w14:textId="77777777" w:rsidR="00E82E63" w:rsidRPr="00E82E63" w:rsidRDefault="00E82E63" w:rsidP="00D43F0D">
      <w:pPr>
        <w:jc w:val="both"/>
        <w:rPr>
          <w:b/>
          <w:bCs/>
        </w:rPr>
      </w:pPr>
      <w:r w:rsidRPr="00E82E63">
        <w:rPr>
          <w:b/>
          <w:bCs/>
        </w:rPr>
        <w:t>Conclusion</w:t>
      </w:r>
    </w:p>
    <w:p w14:paraId="65C271E5" w14:textId="19B08070" w:rsidR="00E82E63" w:rsidRPr="00E82E63" w:rsidRDefault="00E82E63" w:rsidP="00D43F0D">
      <w:pPr>
        <w:jc w:val="both"/>
      </w:pPr>
      <w:r w:rsidRPr="00E82E63">
        <w:t xml:space="preserve">Au cours de notre examen, nous n’avons rien relevé qui nous porte à croire que les états financiers ne donnent pas, dans tous leurs aspects significatifs, une image fidèle de la situation financière de [nom de </w:t>
      </w:r>
      <w:r w:rsidRPr="00E82E63" w:rsidDel="00175FD4">
        <w:t>la coopérative</w:t>
      </w:r>
      <w:r w:rsidRPr="00E82E63">
        <w:t xml:space="preserve">] au 31 mars 2026, ainsi que des résultats de ses activités et de ses flux de trésorerie pour l’exercice </w:t>
      </w:r>
      <w:r w:rsidR="00CC3945">
        <w:t>terminé</w:t>
      </w:r>
      <w:r w:rsidR="00CC3945" w:rsidRPr="00E82E63">
        <w:t xml:space="preserve"> </w:t>
      </w:r>
      <w:r w:rsidRPr="00E82E63">
        <w:t xml:space="preserve">à cette date, conformément aux normes comptables canadiennes pour les organismes sans but lucratif. </w:t>
      </w:r>
    </w:p>
    <w:p w14:paraId="6F985134" w14:textId="77777777" w:rsidR="00E82E63" w:rsidRPr="00E82E63" w:rsidRDefault="00E82E63" w:rsidP="00D43F0D">
      <w:pPr>
        <w:jc w:val="both"/>
      </w:pPr>
    </w:p>
    <w:p w14:paraId="41703120" w14:textId="77777777" w:rsidR="00E82E63" w:rsidRPr="00E82E63" w:rsidRDefault="00E82E63" w:rsidP="00D43F0D">
      <w:pPr>
        <w:jc w:val="both"/>
      </w:pPr>
      <w:r w:rsidRPr="00E82E63">
        <w:t>[Signature du professionnel en exercice]</w:t>
      </w:r>
      <w:r w:rsidRPr="00E82E63">
        <w:rPr>
          <w:i/>
          <w:iCs/>
          <w:vertAlign w:val="superscript"/>
        </w:rPr>
        <w:footnoteReference w:id="6"/>
      </w:r>
    </w:p>
    <w:p w14:paraId="08196E92" w14:textId="77777777" w:rsidR="00E82E63" w:rsidRPr="00E82E63" w:rsidRDefault="00E82E63" w:rsidP="00D43F0D">
      <w:pPr>
        <w:jc w:val="both"/>
      </w:pPr>
      <w:r w:rsidRPr="00E82E63">
        <w:t xml:space="preserve">[Date du rapport du professionnel en exercice] </w:t>
      </w:r>
    </w:p>
    <w:p w14:paraId="52B397A0" w14:textId="77777777" w:rsidR="00E82E63" w:rsidRPr="00E82E63" w:rsidRDefault="00E82E63" w:rsidP="00D43F0D">
      <w:pPr>
        <w:jc w:val="both"/>
      </w:pPr>
      <w:r w:rsidRPr="00E82E63">
        <w:t>[Adresse du professionnel en exercice]</w:t>
      </w:r>
    </w:p>
    <w:p w14:paraId="4ECCC4FE" w14:textId="77777777" w:rsidR="00E82E63" w:rsidRPr="00E82E63" w:rsidRDefault="00E82E63" w:rsidP="00E82E63"/>
    <w:p w14:paraId="32705077" w14:textId="77777777" w:rsidR="006A7E23" w:rsidRDefault="00F811EC" w:rsidP="00F811EC">
      <w:bookmarkStart w:id="27" w:name="OLE_LINK11"/>
      <w:bookmarkStart w:id="28" w:name="OLE_LINK20"/>
      <w:r>
        <w:br w:type="page"/>
      </w:r>
    </w:p>
    <w:p w14:paraId="4C57C9D7" w14:textId="3EAF21DE" w:rsidR="00F811EC" w:rsidRPr="007B21BD" w:rsidRDefault="006A7E23" w:rsidP="00335C8E">
      <w:pPr>
        <w:pStyle w:val="Titre2"/>
        <w:jc w:val="both"/>
      </w:pPr>
      <w:bookmarkStart w:id="29" w:name="_Toc228878220"/>
      <w:r w:rsidRPr="00E82E63">
        <w:t xml:space="preserve">Annexe </w:t>
      </w:r>
      <w:r>
        <w:t>F</w:t>
      </w:r>
      <w:r w:rsidR="00B7521A">
        <w:t xml:space="preserve"> - </w:t>
      </w:r>
      <w:r w:rsidR="0087320C" w:rsidRPr="3735228A">
        <w:rPr>
          <w:lang w:val="fr-FR"/>
        </w:rPr>
        <w:t xml:space="preserve">GARDERIE NON </w:t>
      </w:r>
      <w:r w:rsidR="00277A90" w:rsidRPr="3735228A">
        <w:rPr>
          <w:lang w:val="fr-FR"/>
        </w:rPr>
        <w:t>SUBVENTIONN</w:t>
      </w:r>
      <w:r w:rsidR="00277A90">
        <w:rPr>
          <w:lang w:val="fr-FR"/>
        </w:rPr>
        <w:t>É</w:t>
      </w:r>
      <w:r w:rsidR="00277A90" w:rsidRPr="3735228A">
        <w:rPr>
          <w:lang w:val="fr-FR"/>
        </w:rPr>
        <w:t xml:space="preserve">E </w:t>
      </w:r>
      <w:r w:rsidR="0087320C" w:rsidRPr="3735228A">
        <w:rPr>
          <w:lang w:val="fr-FR"/>
        </w:rPr>
        <w:t>(</w:t>
      </w:r>
      <w:r w:rsidR="0087320C" w:rsidRPr="0087320C">
        <w:rPr>
          <w:b/>
          <w:bCs/>
          <w:lang w:val="fr-FR"/>
        </w:rPr>
        <w:t>GNS</w:t>
      </w:r>
      <w:r w:rsidR="0087320C" w:rsidRPr="3735228A">
        <w:rPr>
          <w:lang w:val="fr-FR"/>
        </w:rPr>
        <w:t xml:space="preserve">) </w:t>
      </w:r>
      <w:r w:rsidR="0087320C" w:rsidRPr="3735228A">
        <w:t xml:space="preserve">SOUS FORME JURIDIQUE D’ENTREPRISE À CAPITAL FERMÉ, </w:t>
      </w:r>
      <w:r w:rsidR="0087320C" w:rsidRPr="3735228A">
        <w:rPr>
          <w:lang w:val="fr-FR"/>
        </w:rPr>
        <w:t xml:space="preserve">AYANT </w:t>
      </w:r>
      <w:r w:rsidR="0087320C" w:rsidRPr="00277A90">
        <w:rPr>
          <w:b/>
          <w:bCs/>
          <w:lang w:val="fr-FR"/>
        </w:rPr>
        <w:t>UN SEUL PERMIS</w:t>
      </w:r>
      <w:r w:rsidR="0087320C" w:rsidRPr="3735228A">
        <w:rPr>
          <w:lang w:val="fr-FR"/>
        </w:rPr>
        <w:t xml:space="preserve">, </w:t>
      </w:r>
      <w:r w:rsidR="0087320C" w:rsidRPr="00277A90">
        <w:rPr>
          <w:b/>
          <w:bCs/>
          <w:lang w:val="fr-FR"/>
        </w:rPr>
        <w:t>CONVERTIE</w:t>
      </w:r>
      <w:r w:rsidR="0087320C" w:rsidRPr="3735228A">
        <w:rPr>
          <w:lang w:val="fr-FR"/>
        </w:rPr>
        <w:t xml:space="preserve"> EN GARDERIE </w:t>
      </w:r>
      <w:r w:rsidR="00277A90" w:rsidRPr="3735228A">
        <w:rPr>
          <w:lang w:val="fr-FR"/>
        </w:rPr>
        <w:t>SUBVENTIONN</w:t>
      </w:r>
      <w:r w:rsidR="00277A90">
        <w:rPr>
          <w:lang w:val="fr-FR"/>
        </w:rPr>
        <w:t>É</w:t>
      </w:r>
      <w:r w:rsidR="00277A90" w:rsidRPr="3735228A">
        <w:rPr>
          <w:lang w:val="fr-FR"/>
        </w:rPr>
        <w:t>E </w:t>
      </w:r>
      <w:r w:rsidR="0087320C" w:rsidRPr="3735228A">
        <w:rPr>
          <w:lang w:val="fr-FR"/>
        </w:rPr>
        <w:t>(</w:t>
      </w:r>
      <w:r w:rsidR="0087320C" w:rsidRPr="00277A90">
        <w:rPr>
          <w:b/>
          <w:bCs/>
          <w:lang w:val="fr-FR"/>
        </w:rPr>
        <w:t>GS</w:t>
      </w:r>
      <w:r w:rsidR="0087320C" w:rsidRPr="3735228A">
        <w:rPr>
          <w:lang w:val="fr-FR"/>
        </w:rPr>
        <w:t>) AU COURS DE L’EXERCICE</w:t>
      </w:r>
      <w:bookmarkEnd w:id="29"/>
      <w:r w:rsidR="0087320C" w:rsidRPr="3735228A">
        <w:rPr>
          <w:lang w:val="fr-FR"/>
        </w:rPr>
        <w:t xml:space="preserve">    </w:t>
      </w:r>
    </w:p>
    <w:p w14:paraId="5EE70DCD" w14:textId="5331E012" w:rsidR="00F811EC" w:rsidRPr="00F811EC" w:rsidRDefault="00CF6271" w:rsidP="00F811EC">
      <w:r w:rsidRPr="007B21BD">
        <w:rPr>
          <w:b/>
          <w:bCs/>
          <w:caps/>
          <w:lang w:val="fr-FR"/>
        </w:rPr>
        <w:t>Rapport de mission d’examen sur les États financiers</w:t>
      </w:r>
      <w:r w:rsidR="00153724">
        <w:rPr>
          <w:b/>
          <w:bCs/>
          <w:caps/>
          <w:lang w:val="fr-FR"/>
        </w:rPr>
        <w:t xml:space="preserve"> </w:t>
      </w:r>
      <w:r w:rsidR="00153724">
        <w:rPr>
          <w:b/>
        </w:rPr>
        <w:t xml:space="preserve">ÉTABLIS SELON LES </w:t>
      </w:r>
      <w:r w:rsidR="00153724" w:rsidRPr="009C66E3">
        <w:rPr>
          <w:b/>
          <w:bCs/>
        </w:rPr>
        <w:t>NORMES COMPTABLES CANADIENNES POUR LES ENTREPRISES À CAPITAL FERMÉ</w:t>
      </w:r>
      <w:r w:rsidR="00153724">
        <w:rPr>
          <w:b/>
        </w:rPr>
        <w:t xml:space="preserve"> </w:t>
      </w:r>
      <w:r w:rsidR="00153724" w:rsidRPr="00652F17">
        <w:rPr>
          <w:b/>
        </w:rPr>
        <w:t>(NCECF)</w:t>
      </w:r>
    </w:p>
    <w:tbl>
      <w:tblPr>
        <w:tblW w:w="0" w:type="auto"/>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880"/>
      </w:tblGrid>
      <w:tr w:rsidR="00F811EC" w:rsidRPr="00F811EC" w14:paraId="449BBF28" w14:textId="77777777">
        <w:trPr>
          <w:trHeight w:val="2058"/>
        </w:trPr>
        <w:tc>
          <w:tcPr>
            <w:tcW w:w="9880" w:type="dxa"/>
            <w:tcBorders>
              <w:top w:val="single" w:sz="18" w:space="0" w:color="36A9E1"/>
              <w:left w:val="single" w:sz="18" w:space="0" w:color="36A9E1"/>
              <w:bottom w:val="single" w:sz="18" w:space="0" w:color="36A9E1"/>
              <w:right w:val="single" w:sz="18" w:space="0" w:color="36A9E1"/>
            </w:tcBorders>
            <w:hideMark/>
          </w:tcPr>
          <w:p w14:paraId="4035C439" w14:textId="5B367AB6" w:rsidR="00F811EC" w:rsidRPr="00F811EC" w:rsidRDefault="006B36E4" w:rsidP="00145419">
            <w:r>
              <w:br/>
            </w:r>
            <w:r w:rsidR="00F811EC" w:rsidRPr="00F811EC">
              <w:t>Aux fins de l’exemple ci-dessous, on suppose les circonstances suivantes :</w:t>
            </w:r>
          </w:p>
          <w:p w14:paraId="69B58596" w14:textId="77777777" w:rsidR="00F811EC" w:rsidRPr="00F811EC" w:rsidRDefault="00F811EC" w:rsidP="006F46D5">
            <w:pPr>
              <w:numPr>
                <w:ilvl w:val="0"/>
                <w:numId w:val="6"/>
              </w:numPr>
            </w:pPr>
            <w:r w:rsidRPr="00F811EC">
              <w:t xml:space="preserve">La mission d’examen porte sur un jeu complet d’états financiers d’une garderie privée non subventionnée qui a été </w:t>
            </w:r>
            <w:r w:rsidRPr="00F811EC">
              <w:rPr>
                <w:b/>
                <w:bCs/>
              </w:rPr>
              <w:t>convertie en garderie subventionnée</w:t>
            </w:r>
            <w:r w:rsidRPr="00F811EC">
              <w:t xml:space="preserve"> au cours de l’exercice, qui détient</w:t>
            </w:r>
            <w:r w:rsidRPr="00F811EC">
              <w:rPr>
                <w:b/>
                <w:bCs/>
              </w:rPr>
              <w:t xml:space="preserve"> un seul permis</w:t>
            </w:r>
            <w:r w:rsidRPr="00F811EC">
              <w:t xml:space="preserve"> et qui est une entreprise à capital fermé, qui n’a </w:t>
            </w:r>
            <w:r w:rsidRPr="00F811EC">
              <w:rPr>
                <w:b/>
                <w:bCs/>
              </w:rPr>
              <w:t>que des activités de garde subventionnée à la suite de la conversion</w:t>
            </w:r>
            <w:r w:rsidRPr="00F811EC">
              <w:t xml:space="preserve">. </w:t>
            </w:r>
          </w:p>
          <w:p w14:paraId="73D2C53F" w14:textId="74DB8A0E" w:rsidR="00F811EC" w:rsidRPr="00F811EC" w:rsidRDefault="00F811EC" w:rsidP="006F46D5">
            <w:pPr>
              <w:numPr>
                <w:ilvl w:val="0"/>
                <w:numId w:val="6"/>
              </w:numPr>
            </w:pPr>
            <w:r w:rsidRPr="00F811EC">
              <w:t>Le référentiel d’information financière applicable est la Partie II du Manuel de CPA Canada – Comptabilité – Normes comptables canadiennes pour les entreprises à capital fermé.</w:t>
            </w:r>
          </w:p>
          <w:p w14:paraId="6F2C3A26" w14:textId="4D344852" w:rsidR="005358F7" w:rsidRPr="00F811EC" w:rsidRDefault="005358F7" w:rsidP="006F46D5">
            <w:pPr>
              <w:numPr>
                <w:ilvl w:val="0"/>
                <w:numId w:val="6"/>
              </w:numPr>
            </w:pPr>
            <w:r>
              <w:t xml:space="preserve">Les états financiers contiennent une </w:t>
            </w:r>
            <w:r w:rsidRPr="00F37C59">
              <w:rPr>
                <w:b/>
                <w:bCs/>
              </w:rPr>
              <w:t xml:space="preserve">dérogation aux Normes comptables canadiennes pour les entreprises à capital fermé </w:t>
            </w:r>
            <w:r w:rsidR="00691DE7">
              <w:t xml:space="preserve">puisque, conformément aux exigences du ministère de la Famille, </w:t>
            </w:r>
            <w:r w:rsidR="00C546FC">
              <w:t>les informations comparatives ne sont pas présentées et que seuls les produits et charges et flux de trésorerie à compter de la conversion sont présentés à l’état des résu</w:t>
            </w:r>
            <w:r w:rsidR="00622338">
              <w:t>ltats et à l’état des flux de trésorerie.</w:t>
            </w:r>
          </w:p>
          <w:p w14:paraId="77E60874" w14:textId="77777777" w:rsidR="00F811EC" w:rsidRPr="00F811EC" w:rsidRDefault="00F811EC" w:rsidP="006F46D5">
            <w:pPr>
              <w:numPr>
                <w:ilvl w:val="0"/>
                <w:numId w:val="6"/>
              </w:numPr>
            </w:pPr>
            <w:r w:rsidRPr="00F811EC">
              <w:t>Il n’existe pas d’incertitude significative liée à des événements ou situations susceptibles de jeter un doute important sur la capacité de l’entité à poursuivre son exploitation.</w:t>
            </w:r>
          </w:p>
          <w:p w14:paraId="4EDF5309" w14:textId="6D331D80" w:rsidR="00F811EC" w:rsidRPr="00F811EC" w:rsidRDefault="00F811EC" w:rsidP="006F46D5">
            <w:pPr>
              <w:numPr>
                <w:ilvl w:val="0"/>
                <w:numId w:val="6"/>
              </w:numPr>
              <w:rPr>
                <w:b/>
              </w:rPr>
            </w:pPr>
            <w:r w:rsidRPr="00F811EC">
              <w:t>Les personnes responsables de la surveillance du processus d’information financière ne sont pas les mêmes que celles qui sont responsables de leur préparation.</w:t>
            </w:r>
          </w:p>
          <w:p w14:paraId="5F8D443C" w14:textId="77777777" w:rsidR="003B7DEB" w:rsidRPr="003B7DEB" w:rsidRDefault="003B7DEB" w:rsidP="003B7DEB">
            <w:pPr>
              <w:numPr>
                <w:ilvl w:val="0"/>
                <w:numId w:val="6"/>
              </w:numPr>
              <w:rPr>
                <w:b/>
              </w:rPr>
            </w:pPr>
            <w:r w:rsidRPr="003B7DEB">
              <w:rPr>
                <w:b/>
              </w:rPr>
              <w:t>Les ajustements appropriés ont été apportés aux soldes d’ouverture même si les informations comparatives (antérieures à la date de conversion en garderie subventionnée) ne sont pas présentées aux états financiers.</w:t>
            </w:r>
          </w:p>
          <w:p w14:paraId="107EC46B" w14:textId="74253857" w:rsidR="00FD35CE" w:rsidRDefault="00BB093E" w:rsidP="006F46D5">
            <w:pPr>
              <w:numPr>
                <w:ilvl w:val="0"/>
                <w:numId w:val="6"/>
              </w:numPr>
              <w:rPr>
                <w:b/>
              </w:rPr>
            </w:pPr>
            <w:r>
              <w:rPr>
                <w:b/>
              </w:rPr>
              <w:t>Un</w:t>
            </w:r>
            <w:r w:rsidR="00E411E3">
              <w:rPr>
                <w:b/>
              </w:rPr>
              <w:t xml:space="preserve"> jeu </w:t>
            </w:r>
            <w:r w:rsidR="0042348A">
              <w:rPr>
                <w:b/>
              </w:rPr>
              <w:t>d’états financiers</w:t>
            </w:r>
            <w:r w:rsidR="00E411E3">
              <w:rPr>
                <w:b/>
              </w:rPr>
              <w:t xml:space="preserve"> distinct</w:t>
            </w:r>
            <w:r w:rsidR="00854B3A">
              <w:rPr>
                <w:b/>
              </w:rPr>
              <w:t xml:space="preserve"> est préparé</w:t>
            </w:r>
            <w:r w:rsidR="0042348A">
              <w:rPr>
                <w:b/>
              </w:rPr>
              <w:t xml:space="preserve"> </w:t>
            </w:r>
            <w:r w:rsidR="00E80728">
              <w:rPr>
                <w:b/>
              </w:rPr>
              <w:t>aux</w:t>
            </w:r>
            <w:r w:rsidR="0042348A">
              <w:rPr>
                <w:b/>
              </w:rPr>
              <w:t xml:space="preserve"> fins fiscales</w:t>
            </w:r>
            <w:r w:rsidR="00190D5A">
              <w:rPr>
                <w:b/>
              </w:rPr>
              <w:t xml:space="preserve"> pour l’entité dans son ensemble incluant les activités de garde avant </w:t>
            </w:r>
            <w:r w:rsidR="00436112">
              <w:rPr>
                <w:b/>
              </w:rPr>
              <w:t xml:space="preserve">et après </w:t>
            </w:r>
            <w:r w:rsidR="00190D5A">
              <w:rPr>
                <w:b/>
              </w:rPr>
              <w:t>la conversion</w:t>
            </w:r>
            <w:r w:rsidR="00854B3A">
              <w:rPr>
                <w:b/>
              </w:rPr>
              <w:t>.</w:t>
            </w:r>
            <w:r w:rsidR="002F1B3B">
              <w:rPr>
                <w:b/>
              </w:rPr>
              <w:t xml:space="preserve"> </w:t>
            </w:r>
          </w:p>
          <w:p w14:paraId="688154B6" w14:textId="4B418F7F" w:rsidR="00EB16BB" w:rsidRPr="0066073B" w:rsidRDefault="00080EDD" w:rsidP="0066073B">
            <w:pPr>
              <w:numPr>
                <w:ilvl w:val="0"/>
                <w:numId w:val="6"/>
              </w:numPr>
              <w:rPr>
                <w:b/>
              </w:rPr>
            </w:pPr>
            <w:r w:rsidRPr="004016C2">
              <w:rPr>
                <w:bCs/>
              </w:rPr>
              <w:t xml:space="preserve">Le professionnel en exercice </w:t>
            </w:r>
            <w:r w:rsidRPr="00436112">
              <w:rPr>
                <w:b/>
              </w:rPr>
              <w:t xml:space="preserve">pourrait juger que </w:t>
            </w:r>
            <w:r w:rsidR="0070717C" w:rsidRPr="004016C2">
              <w:rPr>
                <w:b/>
              </w:rPr>
              <w:t>les anomalies</w:t>
            </w:r>
            <w:r w:rsidR="0058300A" w:rsidRPr="00436112">
              <w:rPr>
                <w:b/>
              </w:rPr>
              <w:t xml:space="preserve"> </w:t>
            </w:r>
            <w:r w:rsidR="0070717C" w:rsidRPr="004016C2">
              <w:rPr>
                <w:rFonts w:ascii="Arial" w:hAnsi="Arial" w:cs="Arial"/>
                <w:b/>
                <w:color w:val="444444"/>
                <w:sz w:val="19"/>
                <w:szCs w:val="19"/>
                <w:shd w:val="clear" w:color="auto" w:fill="FFFFFF"/>
              </w:rPr>
              <w:t>sont</w:t>
            </w:r>
            <w:r w:rsidRPr="004016C2">
              <w:rPr>
                <w:rFonts w:ascii="Arial" w:hAnsi="Arial" w:cs="Arial"/>
                <w:b/>
                <w:color w:val="444444"/>
                <w:sz w:val="19"/>
                <w:szCs w:val="19"/>
                <w:shd w:val="clear" w:color="auto" w:fill="FFFFFF"/>
              </w:rPr>
              <w:t xml:space="preserve"> à la fois significatives et généralisées</w:t>
            </w:r>
            <w:r w:rsidR="0058300A" w:rsidRPr="004016C2">
              <w:rPr>
                <w:rFonts w:ascii="Arial" w:hAnsi="Arial" w:cs="Arial"/>
                <w:b/>
                <w:color w:val="444444"/>
                <w:sz w:val="19"/>
                <w:szCs w:val="19"/>
                <w:shd w:val="clear" w:color="auto" w:fill="FFFFFF"/>
              </w:rPr>
              <w:t xml:space="preserve"> et déterminer qu’une conclusion défavorable est plus appropri</w:t>
            </w:r>
            <w:r w:rsidR="0058300A" w:rsidRPr="004016C2">
              <w:rPr>
                <w:rFonts w:ascii="Arial" w:hAnsi="Arial" w:cs="Arial"/>
                <w:b/>
                <w:bCs/>
                <w:color w:val="444444"/>
                <w:sz w:val="19"/>
                <w:szCs w:val="19"/>
                <w:shd w:val="clear" w:color="auto" w:fill="FFFFFF"/>
              </w:rPr>
              <w:t>ée</w:t>
            </w:r>
            <w:r w:rsidR="0058300A" w:rsidRPr="00797008">
              <w:rPr>
                <w:rFonts w:ascii="Arial" w:hAnsi="Arial" w:cs="Arial"/>
                <w:color w:val="444444"/>
                <w:sz w:val="19"/>
                <w:szCs w:val="19"/>
                <w:shd w:val="clear" w:color="auto" w:fill="FFFFFF"/>
              </w:rPr>
              <w:t xml:space="preserve"> dans les circonstances </w:t>
            </w:r>
            <w:r w:rsidR="0070717C" w:rsidRPr="00797008">
              <w:rPr>
                <w:rFonts w:ascii="Arial" w:hAnsi="Arial" w:cs="Arial"/>
                <w:color w:val="444444"/>
                <w:sz w:val="19"/>
                <w:szCs w:val="19"/>
                <w:shd w:val="clear" w:color="auto" w:fill="FFFFFF"/>
              </w:rPr>
              <w:t xml:space="preserve">qu’une conclusion avec </w:t>
            </w:r>
            <w:r w:rsidR="0070717C" w:rsidRPr="004016C2">
              <w:rPr>
                <w:rFonts w:ascii="Arial" w:hAnsi="Arial" w:cs="Arial"/>
                <w:b/>
                <w:bCs/>
                <w:color w:val="444444"/>
                <w:sz w:val="19"/>
                <w:szCs w:val="19"/>
                <w:shd w:val="clear" w:color="auto" w:fill="FFFFFF"/>
              </w:rPr>
              <w:t>réserve</w:t>
            </w:r>
            <w:r w:rsidR="00797008" w:rsidRPr="004016C2">
              <w:rPr>
                <w:rFonts w:ascii="Arial" w:hAnsi="Arial" w:cs="Arial"/>
                <w:color w:val="444444"/>
                <w:sz w:val="19"/>
                <w:szCs w:val="19"/>
                <w:shd w:val="clear" w:color="auto" w:fill="FFFFFF"/>
              </w:rPr>
              <w:t>, ou encore qu’un rapport sur des états financiers à usage</w:t>
            </w:r>
            <w:r w:rsidR="00797008">
              <w:rPr>
                <w:rFonts w:ascii="Arial" w:hAnsi="Arial" w:cs="Arial"/>
                <w:b/>
                <w:bCs/>
                <w:color w:val="444444"/>
                <w:sz w:val="19"/>
                <w:szCs w:val="19"/>
                <w:shd w:val="clear" w:color="auto" w:fill="FFFFFF"/>
              </w:rPr>
              <w:t xml:space="preserve"> </w:t>
            </w:r>
            <w:r w:rsidR="00797008" w:rsidRPr="004016C2">
              <w:rPr>
                <w:rFonts w:ascii="Arial" w:hAnsi="Arial" w:cs="Arial"/>
                <w:color w:val="444444"/>
                <w:sz w:val="19"/>
                <w:szCs w:val="19"/>
                <w:shd w:val="clear" w:color="auto" w:fill="FFFFFF"/>
              </w:rPr>
              <w:t>particulier</w:t>
            </w:r>
            <w:r w:rsidR="00797008">
              <w:rPr>
                <w:rFonts w:ascii="Arial" w:hAnsi="Arial" w:cs="Arial"/>
                <w:b/>
                <w:bCs/>
                <w:color w:val="444444"/>
                <w:sz w:val="19"/>
                <w:szCs w:val="19"/>
                <w:shd w:val="clear" w:color="auto" w:fill="FFFFFF"/>
              </w:rPr>
              <w:t xml:space="preserve"> </w:t>
            </w:r>
            <w:r w:rsidR="0066073B">
              <w:rPr>
                <w:rFonts w:ascii="Arial" w:hAnsi="Arial" w:cs="Arial"/>
                <w:b/>
                <w:bCs/>
                <w:color w:val="444444"/>
                <w:sz w:val="19"/>
                <w:szCs w:val="19"/>
                <w:shd w:val="clear" w:color="auto" w:fill="FFFFFF"/>
              </w:rPr>
              <w:t>serait plus approprié.</w:t>
            </w:r>
            <w:r w:rsidR="00EA74D1">
              <w:rPr>
                <w:rFonts w:ascii="Arial" w:hAnsi="Arial" w:cs="Arial"/>
                <w:b/>
                <w:bCs/>
                <w:color w:val="444444"/>
                <w:sz w:val="19"/>
                <w:szCs w:val="19"/>
                <w:shd w:val="clear" w:color="auto" w:fill="FFFFFF"/>
              </w:rPr>
              <w:t xml:space="preserve"> </w:t>
            </w:r>
          </w:p>
        </w:tc>
      </w:tr>
    </w:tbl>
    <w:p w14:paraId="3778054C" w14:textId="77777777" w:rsidR="00EB7330" w:rsidRDefault="00EB7330" w:rsidP="00F811EC"/>
    <w:p w14:paraId="2259D69F" w14:textId="77777777" w:rsidR="006B36E4" w:rsidRPr="00F811EC" w:rsidRDefault="006B36E4" w:rsidP="00F811EC"/>
    <w:p w14:paraId="16B74F8D" w14:textId="77777777" w:rsidR="00F811EC" w:rsidRPr="00F811EC" w:rsidRDefault="00F811EC" w:rsidP="00F811EC">
      <w:pPr>
        <w:rPr>
          <w:b/>
        </w:rPr>
      </w:pPr>
      <w:r w:rsidRPr="00F811EC">
        <w:rPr>
          <w:b/>
        </w:rPr>
        <w:t>RAPPORT DE MISSION D’EXAMEN DU PROFESSIONNEL EN EXERCICE INDÉPENDANT</w:t>
      </w:r>
    </w:p>
    <w:p w14:paraId="117390FE" w14:textId="77777777" w:rsidR="00F811EC" w:rsidRPr="00F811EC" w:rsidRDefault="00F811EC" w:rsidP="00F811EC">
      <w:r w:rsidRPr="00F811EC">
        <w:t>Aux actionnaires de [nom de l’entité],</w:t>
      </w:r>
    </w:p>
    <w:p w14:paraId="198E1FAA" w14:textId="77777777" w:rsidR="00F811EC" w:rsidRPr="00F811EC" w:rsidRDefault="00F811EC" w:rsidP="006F46D5">
      <w:pPr>
        <w:jc w:val="both"/>
      </w:pPr>
      <w:r w:rsidRPr="00F811EC">
        <w:t xml:space="preserve">Nous avons effectué l’examen des états financiers de [nom de l’entité] (ci-après la « société »), qui comprennent le bilan au 31 mars 2026, et les états des résultats, des bénéfices non répartis et des flux de trésorerie pour l’exercice terminé à cette date, ainsi que les notes aux états financiers, y compris le résumé des principales méthodes comptables, et les annexes. </w:t>
      </w:r>
    </w:p>
    <w:p w14:paraId="44F2933D" w14:textId="52EF6853" w:rsidR="00F811EC" w:rsidRPr="00F811EC" w:rsidRDefault="00F811EC" w:rsidP="00F811EC">
      <w:pPr>
        <w:rPr>
          <w:b/>
          <w:bCs/>
        </w:rPr>
      </w:pPr>
      <w:r w:rsidRPr="00F811EC">
        <w:rPr>
          <w:b/>
          <w:bCs/>
        </w:rPr>
        <w:t>Responsabilité de la direction à l’égard des états financiers </w:t>
      </w:r>
    </w:p>
    <w:p w14:paraId="05D3BADA" w14:textId="45003849" w:rsidR="006B36E4" w:rsidRDefault="00F811EC" w:rsidP="00540509">
      <w:pPr>
        <w:jc w:val="both"/>
      </w:pPr>
      <w:r w:rsidRPr="00F811EC">
        <w:t>La direction est responsable de la préparation et de la présentation fidèle des états financiers conformément aux Normes canadiennes pour les entreprises à capital fermé, ainsi que du contrôle interne qu’elle considère comme nécessaire pour permettre la préparation d’états financiers exempts d’anomalies significatives, que celles-ci résultent de fraudes ou d’erreurs.</w:t>
      </w:r>
    </w:p>
    <w:p w14:paraId="6CBE644E" w14:textId="458228C5" w:rsidR="006B36E4" w:rsidRDefault="00F811EC" w:rsidP="00F811EC">
      <w:pPr>
        <w:rPr>
          <w:b/>
          <w:bCs/>
        </w:rPr>
      </w:pPr>
      <w:r w:rsidRPr="00F811EC">
        <w:rPr>
          <w:b/>
          <w:bCs/>
        </w:rPr>
        <w:t>Responsabilité du professionnel en exercice à l’égard de l’examen des états financiers</w:t>
      </w:r>
    </w:p>
    <w:p w14:paraId="4F624E8E" w14:textId="35287933" w:rsidR="00F811EC" w:rsidRPr="00F811EC" w:rsidRDefault="00F811EC" w:rsidP="006F46D5">
      <w:pPr>
        <w:jc w:val="both"/>
      </w:pPr>
      <w:r w:rsidRPr="00F811EC">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096C72EF" w14:textId="0430E174" w:rsidR="00F811EC" w:rsidRPr="00F811EC" w:rsidRDefault="00F811EC" w:rsidP="006F46D5">
      <w:pPr>
        <w:jc w:val="both"/>
      </w:pPr>
      <w:r w:rsidRPr="00F811EC">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la société, selon le cas, ainsi qu’en des procédures analytiques, et évalue les éléments probants obtenus.</w:t>
      </w:r>
    </w:p>
    <w:p w14:paraId="2081F86B" w14:textId="77777777" w:rsidR="00F811EC" w:rsidRDefault="00F811EC" w:rsidP="006F46D5">
      <w:pPr>
        <w:jc w:val="both"/>
      </w:pPr>
      <w:r>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3523E030" w14:textId="17B9B81F" w:rsidR="00F811EC" w:rsidRPr="00F811EC" w:rsidRDefault="00F811EC" w:rsidP="00F811EC">
      <w:pPr>
        <w:rPr>
          <w:b/>
          <w:bCs/>
        </w:rPr>
      </w:pPr>
      <w:r w:rsidRPr="3735228A">
        <w:rPr>
          <w:b/>
          <w:bCs/>
        </w:rPr>
        <w:t>Fondement de la conclusion avec réserve</w:t>
      </w:r>
      <w:r w:rsidR="00BF6FB7">
        <w:rPr>
          <w:b/>
          <w:bCs/>
        </w:rPr>
        <w:t>s</w:t>
      </w:r>
    </w:p>
    <w:p w14:paraId="3C5C5792" w14:textId="76BF4333" w:rsidR="00F811EC" w:rsidRDefault="00F811EC" w:rsidP="006F46D5">
      <w:pPr>
        <w:jc w:val="both"/>
      </w:pPr>
      <w:r w:rsidRPr="00F811EC">
        <w:t>Les états financiers incluent seulement les activités de la société relatives à la garde subventionnée à compter de la date de la conversion de la garderie non subventionnée en garderie subventionnée et ils excluent les opérations de garde d’enfants de l’entité précédent la conversion</w:t>
      </w:r>
      <w:r w:rsidR="00F21C99">
        <w:t xml:space="preserve">; de plus, </w:t>
      </w:r>
      <w:r w:rsidR="00720298">
        <w:t>l</w:t>
      </w:r>
      <w:r w:rsidR="00720298" w:rsidRPr="00720298">
        <w:t xml:space="preserve">es états financiers </w:t>
      </w:r>
      <w:r w:rsidR="00720298">
        <w:t>de</w:t>
      </w:r>
      <w:r w:rsidR="00720298" w:rsidRPr="00720298">
        <w:t xml:space="preserve"> l’exercice terminé le 31 mars 2026 ne présentent pas de données comparatives</w:t>
      </w:r>
      <w:r w:rsidR="006112D3">
        <w:t>.</w:t>
      </w:r>
      <w:r w:rsidR="009577E9">
        <w:t xml:space="preserve"> Ces éléments</w:t>
      </w:r>
      <w:r w:rsidR="00720298" w:rsidRPr="00720298">
        <w:t xml:space="preserve"> constitue</w:t>
      </w:r>
      <w:r w:rsidR="009577E9">
        <w:t>nt</w:t>
      </w:r>
      <w:r w:rsidR="00720298" w:rsidRPr="00720298">
        <w:t xml:space="preserve"> </w:t>
      </w:r>
      <w:r w:rsidR="009577E9">
        <w:t>des</w:t>
      </w:r>
      <w:r w:rsidR="00720298" w:rsidRPr="00720298">
        <w:t xml:space="preserve"> dérogation</w:t>
      </w:r>
      <w:r w:rsidR="009577E9">
        <w:t>s</w:t>
      </w:r>
      <w:r w:rsidR="00720298" w:rsidRPr="00720298">
        <w:t xml:space="preserve"> aux </w:t>
      </w:r>
      <w:r w:rsidR="00F5387E" w:rsidRPr="00F811EC">
        <w:t>Normes comptables canadiennes pour les entreprises à capital fermé</w:t>
      </w:r>
      <w:r w:rsidR="00720298" w:rsidRPr="00720298">
        <w:t xml:space="preserve">. Cette situation </w:t>
      </w:r>
      <w:r w:rsidR="004B1E13">
        <w:t xml:space="preserve">découle d’une exigence du ministère de </w:t>
      </w:r>
      <w:r w:rsidR="00720298" w:rsidRPr="00720298">
        <w:t>la Famille</w:t>
      </w:r>
      <w:r w:rsidR="005D60F4">
        <w:t xml:space="preserve"> </w:t>
      </w:r>
      <w:r w:rsidR="00720298" w:rsidRPr="00720298">
        <w:t>dans le contexte de la conversion d’une garderie non subventionnée en garderie subventionnée</w:t>
      </w:r>
      <w:r w:rsidRPr="00F811EC">
        <w:t xml:space="preserve">. Si toutes les activités de l’entité avaient été incluses dans les états financiers, </w:t>
      </w:r>
      <w:r w:rsidR="00E21611">
        <w:t>[</w:t>
      </w:r>
      <w:r w:rsidR="008D7C26">
        <w:t>chiffrer</w:t>
      </w:r>
      <w:r w:rsidR="00FF6093">
        <w:t xml:space="preserve"> l’impact</w:t>
      </w:r>
      <w:r w:rsidR="006A5572">
        <w:t xml:space="preserve"> </w:t>
      </w:r>
      <w:r w:rsidR="008D7C26">
        <w:t>sur chacun des postes des états financiers</w:t>
      </w:r>
      <w:r w:rsidR="006A5572">
        <w:t>]</w:t>
      </w:r>
      <w:r w:rsidR="00FF6093">
        <w:t>.</w:t>
      </w:r>
    </w:p>
    <w:p w14:paraId="44FB70B9" w14:textId="77777777" w:rsidR="007C0ECD" w:rsidRDefault="007C0ECD" w:rsidP="00F811EC">
      <w:pPr>
        <w:rPr>
          <w:b/>
          <w:bCs/>
        </w:rPr>
      </w:pPr>
      <w:r>
        <w:rPr>
          <w:b/>
          <w:bCs/>
        </w:rPr>
        <w:br/>
      </w:r>
    </w:p>
    <w:p w14:paraId="3D98567A" w14:textId="2C0B34F5" w:rsidR="00F811EC" w:rsidRPr="00F811EC" w:rsidRDefault="00F811EC" w:rsidP="00F811EC">
      <w:pPr>
        <w:rPr>
          <w:b/>
          <w:bCs/>
        </w:rPr>
      </w:pPr>
      <w:r w:rsidRPr="00F811EC">
        <w:rPr>
          <w:b/>
          <w:bCs/>
        </w:rPr>
        <w:t>Conclusion avec réserve</w:t>
      </w:r>
      <w:r w:rsidR="00E73D16">
        <w:rPr>
          <w:b/>
          <w:bCs/>
        </w:rPr>
        <w:t>s</w:t>
      </w:r>
    </w:p>
    <w:p w14:paraId="183A6961" w14:textId="2281F13E" w:rsidR="00F811EC" w:rsidRDefault="00F811EC" w:rsidP="006F46D5">
      <w:pPr>
        <w:jc w:val="both"/>
      </w:pPr>
      <w:r w:rsidRPr="00F811EC">
        <w:t xml:space="preserve">Au cours de notre examen, à l’exception des incidences </w:t>
      </w:r>
      <w:r w:rsidR="00B92B4F">
        <w:t>des</w:t>
      </w:r>
      <w:r w:rsidR="00B92B4F" w:rsidRPr="00F811EC">
        <w:t xml:space="preserve"> </w:t>
      </w:r>
      <w:r w:rsidRPr="00F811EC">
        <w:t>problème</w:t>
      </w:r>
      <w:r w:rsidR="00B92B4F">
        <w:t>s</w:t>
      </w:r>
      <w:r w:rsidRPr="00F811EC">
        <w:t xml:space="preserve"> décrit</w:t>
      </w:r>
      <w:r w:rsidR="00B92B4F">
        <w:t>s</w:t>
      </w:r>
      <w:r w:rsidRPr="00F811EC">
        <w:t xml:space="preserve"> dans le paragraphes sur le fondement de la conclusion avec réserve</w:t>
      </w:r>
      <w:r w:rsidR="00BF6FB7">
        <w:t>s</w:t>
      </w:r>
      <w:r w:rsidRPr="00F811EC">
        <w:t>, nous n’avons rien relevé qui nous porte à croire que les états financiers ne donnent pas, dans tous leurs aspects significatifs, une image fidèle de la situation financière de [nom de l’entité] au 31 mars 2026, ainsi que des résultats de son exploitation et de ses flux de trésorerie de l’exercice terminé à cette date, conformément aux Normes comptables canadiennes pour les entreprises à capital fermé.</w:t>
      </w:r>
    </w:p>
    <w:p w14:paraId="67D0A3A1" w14:textId="77777777" w:rsidR="006F46D5" w:rsidRDefault="006F46D5" w:rsidP="006F46D5">
      <w:pPr>
        <w:jc w:val="both"/>
      </w:pPr>
    </w:p>
    <w:p w14:paraId="25CCB9D6" w14:textId="77777777" w:rsidR="00DC50D1" w:rsidRDefault="00F811EC" w:rsidP="00917DBE">
      <w:r w:rsidRPr="00F811EC">
        <w:t>[Signature du professionnel en exercice]</w:t>
      </w:r>
      <w:r w:rsidRPr="00F811EC">
        <w:rPr>
          <w:i/>
          <w:iCs/>
          <w:vertAlign w:val="superscript"/>
        </w:rPr>
        <w:footnoteReference w:id="7"/>
      </w:r>
      <w:r w:rsidR="00EB7330">
        <w:br/>
      </w:r>
      <w:r w:rsidRPr="00F811EC">
        <w:t xml:space="preserve">[Date du rapport du professionnel en exercice] </w:t>
      </w:r>
      <w:r w:rsidR="00EB7330">
        <w:br/>
      </w:r>
      <w:r w:rsidRPr="00F811EC">
        <w:t>[Adresse du professionnel en exercice]</w:t>
      </w:r>
      <w:r w:rsidRPr="00F811EC">
        <w:br w:type="page"/>
      </w:r>
    </w:p>
    <w:p w14:paraId="2093E003" w14:textId="77777777" w:rsidR="00A42F92" w:rsidRPr="00277A90" w:rsidRDefault="00A42F92" w:rsidP="00277A90">
      <w:pPr>
        <w:pStyle w:val="Titre1"/>
        <w:jc w:val="both"/>
        <w:rPr>
          <w:b/>
          <w:bCs/>
        </w:rPr>
      </w:pPr>
      <w:bookmarkStart w:id="30" w:name="_Toc228791581"/>
      <w:bookmarkStart w:id="31" w:name="_Toc228878221"/>
      <w:r w:rsidRPr="00277A90">
        <w:rPr>
          <w:rStyle w:val="Titre2Car"/>
          <w:b/>
          <w:bCs/>
          <w:color w:val="3A7C22" w:themeColor="accent6" w:themeShade="BF"/>
          <w:sz w:val="40"/>
          <w:szCs w:val="40"/>
        </w:rPr>
        <w:t>Annexe G : Rapports sur les EF – Plusieurs permis</w:t>
      </w:r>
      <w:bookmarkEnd w:id="30"/>
      <w:bookmarkEnd w:id="31"/>
    </w:p>
    <w:p w14:paraId="41D5D8A5" w14:textId="7C359E8F" w:rsidR="006C0A99" w:rsidRDefault="00DC50D1" w:rsidP="00277A90">
      <w:pPr>
        <w:pStyle w:val="Titre3"/>
        <w:jc w:val="both"/>
      </w:pPr>
      <w:r w:rsidRPr="00E82E63">
        <w:t xml:space="preserve">Annexe </w:t>
      </w:r>
      <w:r>
        <w:t>G</w:t>
      </w:r>
      <w:r w:rsidR="00B7521A">
        <w:t xml:space="preserve"> - </w:t>
      </w:r>
      <w:r w:rsidR="006C0A99" w:rsidRPr="00E82E63">
        <w:t>GARDERIES SUBVENTIONNÉES</w:t>
      </w:r>
      <w:r w:rsidR="006C0A99">
        <w:t xml:space="preserve"> (</w:t>
      </w:r>
      <w:r w:rsidR="006C0A99" w:rsidRPr="00277A90">
        <w:rPr>
          <w:b/>
          <w:bCs/>
        </w:rPr>
        <w:t>GS</w:t>
      </w:r>
      <w:r w:rsidR="006C0A99">
        <w:t xml:space="preserve">) </w:t>
      </w:r>
      <w:r w:rsidR="006C0A99" w:rsidRPr="00277A90">
        <w:rPr>
          <w:b/>
          <w:bCs/>
        </w:rPr>
        <w:t xml:space="preserve">AYANT </w:t>
      </w:r>
      <w:r w:rsidR="001D7DEE" w:rsidRPr="00277A90">
        <w:rPr>
          <w:b/>
          <w:bCs/>
        </w:rPr>
        <w:t>PLUSIEURS</w:t>
      </w:r>
      <w:r w:rsidR="006C0A99" w:rsidRPr="00277A90">
        <w:rPr>
          <w:b/>
          <w:bCs/>
        </w:rPr>
        <w:t xml:space="preserve"> PERMIS</w:t>
      </w:r>
      <w:r w:rsidR="006075E2">
        <w:t xml:space="preserve"> (DIVISION</w:t>
      </w:r>
      <w:r w:rsidR="001E7C1F">
        <w:t>S)</w:t>
      </w:r>
      <w:r w:rsidR="006C0A99">
        <w:t xml:space="preserve">, </w:t>
      </w:r>
      <w:r w:rsidR="006C0A99" w:rsidRPr="00E82E63">
        <w:t xml:space="preserve">SOUS FORME JURIDIQUE D’ENTREPRISE À CAPITAL FERMÉ </w:t>
      </w:r>
      <w:r w:rsidR="006C0A99">
        <w:t>(</w:t>
      </w:r>
      <w:r w:rsidR="006C0A99" w:rsidRPr="00277A90">
        <w:rPr>
          <w:b/>
          <w:bCs/>
        </w:rPr>
        <w:t>ECF</w:t>
      </w:r>
      <w:r w:rsidR="006C0A99">
        <w:t>)</w:t>
      </w:r>
    </w:p>
    <w:p w14:paraId="43E51CA4" w14:textId="09B90B2C" w:rsidR="006C0A99" w:rsidRDefault="006C0A99" w:rsidP="006C0A99">
      <w:pPr>
        <w:jc w:val="both"/>
        <w:rPr>
          <w:b/>
        </w:rPr>
      </w:pPr>
      <w:r>
        <w:rPr>
          <w:b/>
        </w:rPr>
        <w:t xml:space="preserve">RAPPORT SUR DES </w:t>
      </w:r>
      <w:r w:rsidRPr="00E82E63">
        <w:rPr>
          <w:b/>
        </w:rPr>
        <w:t xml:space="preserve">ÉTATS FINANCIERS </w:t>
      </w:r>
      <w:r>
        <w:rPr>
          <w:b/>
        </w:rPr>
        <w:t xml:space="preserve">ÉTABLIS SELON LES </w:t>
      </w:r>
      <w:r w:rsidRPr="009C66E3">
        <w:rPr>
          <w:b/>
          <w:bCs/>
        </w:rPr>
        <w:t>NORMES COMPTABLES CANADIENNES POUR LES ENTREPRISES À CAPITAL FERMÉ</w:t>
      </w:r>
      <w:r>
        <w:rPr>
          <w:b/>
        </w:rPr>
        <w:t xml:space="preserve"> </w:t>
      </w:r>
      <w:r w:rsidRPr="00652F17">
        <w:rPr>
          <w:b/>
        </w:rPr>
        <w:t xml:space="preserve">(NCECF) </w:t>
      </w:r>
      <w:r w:rsidR="001D7DEE">
        <w:rPr>
          <w:b/>
        </w:rPr>
        <w:t>– À PRODUIRE POUR CHAQUE DIVISION</w:t>
      </w:r>
    </w:p>
    <w:tbl>
      <w:tblPr>
        <w:tblW w:w="0" w:type="auto"/>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880"/>
      </w:tblGrid>
      <w:tr w:rsidR="00917DBE" w:rsidRPr="00917DBE" w14:paraId="0F9B76F1" w14:textId="77777777">
        <w:trPr>
          <w:trHeight w:val="2058"/>
        </w:trPr>
        <w:tc>
          <w:tcPr>
            <w:tcW w:w="9880" w:type="dxa"/>
            <w:tcBorders>
              <w:top w:val="single" w:sz="18" w:space="0" w:color="36A9E1"/>
              <w:left w:val="single" w:sz="18" w:space="0" w:color="36A9E1"/>
              <w:bottom w:val="single" w:sz="18" w:space="0" w:color="36A9E1"/>
              <w:right w:val="single" w:sz="18" w:space="0" w:color="36A9E1"/>
            </w:tcBorders>
            <w:hideMark/>
          </w:tcPr>
          <w:p w14:paraId="25AAC3DA" w14:textId="7531058E" w:rsidR="00917DBE" w:rsidRPr="00917DBE" w:rsidRDefault="009C0EBD" w:rsidP="004E5F39">
            <w:r>
              <w:br/>
            </w:r>
            <w:r w:rsidR="00917DBE" w:rsidRPr="00917DBE">
              <w:t xml:space="preserve">Aux fins de l’exemple ci-dessous, on suppose les circonstances suivantes : </w:t>
            </w:r>
          </w:p>
          <w:p w14:paraId="5C26708C" w14:textId="515B2AA5" w:rsidR="00917DBE" w:rsidRPr="00917DBE" w:rsidRDefault="00917DBE" w:rsidP="00CF7EA0">
            <w:pPr>
              <w:numPr>
                <w:ilvl w:val="0"/>
                <w:numId w:val="6"/>
              </w:numPr>
            </w:pPr>
            <w:r w:rsidRPr="00917DBE">
              <w:t xml:space="preserve">Les états financiers concernent une entreprise à capital fermé qui détient </w:t>
            </w:r>
            <w:r w:rsidRPr="00917DBE">
              <w:rPr>
                <w:b/>
                <w:bCs/>
              </w:rPr>
              <w:t>plusieurs permis de garde subventionnée</w:t>
            </w:r>
            <w:r w:rsidRPr="00917DBE">
              <w:t xml:space="preserve"> (qui n’a </w:t>
            </w:r>
            <w:r w:rsidRPr="00917DBE">
              <w:rPr>
                <w:b/>
                <w:bCs/>
              </w:rPr>
              <w:t>pas subi de conversion</w:t>
            </w:r>
            <w:r w:rsidRPr="00917DBE">
              <w:t xml:space="preserve"> dans l’exercice)</w:t>
            </w:r>
            <w:r w:rsidR="004E5F39">
              <w:t>. Se référer à l’annexe F dans les situations de conversion</w:t>
            </w:r>
            <w:r w:rsidR="002A73DC">
              <w:t xml:space="preserve">. </w:t>
            </w:r>
            <w:r w:rsidRPr="00917DBE">
              <w:t xml:space="preserve"> </w:t>
            </w:r>
          </w:p>
          <w:p w14:paraId="49B88E97" w14:textId="77777777" w:rsidR="00917DBE" w:rsidRPr="00917DBE" w:rsidRDefault="00917DBE" w:rsidP="00CF7EA0">
            <w:pPr>
              <w:numPr>
                <w:ilvl w:val="0"/>
                <w:numId w:val="6"/>
              </w:numPr>
            </w:pPr>
            <w:r w:rsidRPr="00917DBE">
              <w:t>La mission d’examen porte sur un jeu complet d’états financiers pour chacune des divisions (permis) de l’entité.</w:t>
            </w:r>
          </w:p>
          <w:p w14:paraId="4E887DFC" w14:textId="39DE34E1" w:rsidR="00917DBE" w:rsidRPr="00917DBE" w:rsidRDefault="00917DBE" w:rsidP="00CF7EA0">
            <w:pPr>
              <w:numPr>
                <w:ilvl w:val="0"/>
                <w:numId w:val="6"/>
              </w:numPr>
            </w:pPr>
            <w:r w:rsidRPr="00917DBE">
              <w:t xml:space="preserve">Le référentiel d’information financière applicable est un référentiel à usage particulier basé sur la Partie II du Manuel de CPA Canada – Comptabilité – Normes comptables canadiennes pour les entreprises à capital fermé </w:t>
            </w:r>
            <w:r w:rsidRPr="00917DBE">
              <w:rPr>
                <w:b/>
                <w:bCs/>
              </w:rPr>
              <w:t>complété par les dispositions en matière d’information financière</w:t>
            </w:r>
            <w:r w:rsidRPr="00917DBE">
              <w:t xml:space="preserve"> décrites dans la partie III des Règles relatives aux états financiers et aux renseignements complémentaires comprises dans les règles de reddition de comptes publiées par le ministère de la Famille. </w:t>
            </w:r>
            <w:r w:rsidRPr="00917DBE">
              <w:rPr>
                <w:b/>
                <w:bCs/>
              </w:rPr>
              <w:t>Il s’agit d’un référentiel à image fidèle</w:t>
            </w:r>
            <w:r w:rsidRPr="00917DBE">
              <w:t xml:space="preserve">. </w:t>
            </w:r>
          </w:p>
          <w:p w14:paraId="302BB68B" w14:textId="7C2B8797" w:rsidR="00917DBE" w:rsidRPr="00917DBE" w:rsidRDefault="00917DBE" w:rsidP="00CF7EA0">
            <w:pPr>
              <w:numPr>
                <w:ilvl w:val="0"/>
                <w:numId w:val="6"/>
              </w:numPr>
            </w:pPr>
            <w:r w:rsidRPr="00917DBE">
              <w:t xml:space="preserve">L’entité a choisi de préparer un jeu d’états financiers distinct (impôts et financement externe) pour l’entité juridique </w:t>
            </w:r>
            <w:r w:rsidR="001B26E4">
              <w:t xml:space="preserve">dans son ensemble </w:t>
            </w:r>
            <w:r w:rsidRPr="00917DBE">
              <w:t>en plus des états financiers propres à chacune des divisions.</w:t>
            </w:r>
          </w:p>
          <w:p w14:paraId="1806C25F" w14:textId="77777777" w:rsidR="00917DBE" w:rsidRPr="00917DBE" w:rsidRDefault="00917DBE" w:rsidP="00CF7EA0">
            <w:pPr>
              <w:numPr>
                <w:ilvl w:val="0"/>
                <w:numId w:val="6"/>
              </w:numPr>
            </w:pPr>
            <w:r w:rsidRPr="00917DBE">
              <w:t>Il n’existe pas d’incertitude significative liée à des événements ou situations susceptibles de jeter un doute important sur la capacité de l’entité à poursuivre son exploitation.</w:t>
            </w:r>
          </w:p>
          <w:p w14:paraId="565B821D" w14:textId="545BBE97" w:rsidR="00917DBE" w:rsidRPr="00917DBE" w:rsidRDefault="00917DBE" w:rsidP="00CF7EA0">
            <w:pPr>
              <w:numPr>
                <w:ilvl w:val="0"/>
                <w:numId w:val="6"/>
              </w:numPr>
              <w:rPr>
                <w:bCs/>
              </w:rPr>
            </w:pPr>
            <w:r w:rsidRPr="00917DBE">
              <w:t>Les personnes responsables de la surveillance du processus d’information financière ne sont pas les mêmes que celles qui sont responsables de leur préparation.</w:t>
            </w:r>
          </w:p>
        </w:tc>
      </w:tr>
    </w:tbl>
    <w:p w14:paraId="5A2EBE50" w14:textId="77777777" w:rsidR="00917DBE" w:rsidRPr="00917DBE" w:rsidRDefault="00917DBE" w:rsidP="00917DBE"/>
    <w:p w14:paraId="4E47D6D5" w14:textId="77777777" w:rsidR="00917DBE" w:rsidRPr="00917DBE" w:rsidRDefault="00917DBE" w:rsidP="00917DBE">
      <w:pPr>
        <w:rPr>
          <w:b/>
        </w:rPr>
      </w:pPr>
      <w:r w:rsidRPr="00917DBE">
        <w:rPr>
          <w:b/>
        </w:rPr>
        <w:t>RAPPORT DE MISSION D’EXAMEN DU PROFESSIONNEL EN EXERCICE INDÉPENDANT</w:t>
      </w:r>
    </w:p>
    <w:p w14:paraId="35098611" w14:textId="77777777" w:rsidR="00917DBE" w:rsidRPr="00917DBE" w:rsidRDefault="00917DBE" w:rsidP="00917DBE">
      <w:r w:rsidRPr="00917DBE">
        <w:t>Aux actionnaires de [nom de l’entité et numéro de division],</w:t>
      </w:r>
    </w:p>
    <w:p w14:paraId="4969081A" w14:textId="51227500" w:rsidR="00917DBE" w:rsidRDefault="00917DBE" w:rsidP="00CF7EA0">
      <w:pPr>
        <w:jc w:val="both"/>
      </w:pPr>
      <w:r w:rsidRPr="00917DBE">
        <w:t xml:space="preserve">Nous avons effectué l’examen des états financiers de [nom de l’entité et numéro de division] (ci-après la « division »), qui comprennent le bilan au 31 mars 2026, et les états des résultats, des bénéfices non répartis et des flux de trésorerie pour l’exercice terminé à cette date, ainsi que les notes aux états financiers, y compris le résumé des principales méthodes comptables, et les annexes. Les états financiers de la division ont été établis par la direction selon les dispositions en matière d’information financière décrites dans la partie III des Règles relatives aux états financiers et aux renseignements complémentaires comprises dans les règles de reddition de compte publiées par le ministère de la Famille (ci-après « les Règles du ministère de la Famille »). </w:t>
      </w:r>
    </w:p>
    <w:p w14:paraId="5D68A3B0" w14:textId="6F0CCBE7" w:rsidR="00917DBE" w:rsidRPr="00917DBE" w:rsidRDefault="00917DBE" w:rsidP="00917DBE">
      <w:pPr>
        <w:rPr>
          <w:b/>
          <w:bCs/>
        </w:rPr>
      </w:pPr>
      <w:r w:rsidRPr="00917DBE">
        <w:rPr>
          <w:b/>
          <w:bCs/>
        </w:rPr>
        <w:t>Responsabilité de la direction à l’égard des états financiers </w:t>
      </w:r>
    </w:p>
    <w:p w14:paraId="125C7367" w14:textId="77777777" w:rsidR="00917DBE" w:rsidRPr="00917DBE" w:rsidRDefault="00917DBE" w:rsidP="00CF7EA0">
      <w:pPr>
        <w:jc w:val="both"/>
      </w:pPr>
      <w:r w:rsidRPr="00917DBE">
        <w:t>La direction est responsable de la préparation et de la présentation fidèle des états financiers de la division conformément aux stipulations en matière d’information financière décrites dans les Règles du ministère de la Famille, ainsi que du contrôle interne qu’elle considère comme nécessaire pour permettre la préparation d’états financiers exempts d’anomalies significatives, que celles-ci résultent de fraudes ou d’erreurs.</w:t>
      </w:r>
    </w:p>
    <w:p w14:paraId="1AC57E4C" w14:textId="58F757A6" w:rsidR="00917DBE" w:rsidRPr="00917DBE" w:rsidRDefault="00917DBE" w:rsidP="00917DBE">
      <w:pPr>
        <w:rPr>
          <w:b/>
          <w:bCs/>
        </w:rPr>
      </w:pPr>
      <w:r w:rsidRPr="00917DBE">
        <w:rPr>
          <w:b/>
          <w:bCs/>
        </w:rPr>
        <w:t>Responsabilité du professionnel en exercice à l’égard de l’examen des états financiers</w:t>
      </w:r>
    </w:p>
    <w:p w14:paraId="258ADE96" w14:textId="77777777" w:rsidR="00917DBE" w:rsidRPr="00917DBE" w:rsidRDefault="00917DBE" w:rsidP="00CF7EA0">
      <w:pPr>
        <w:jc w:val="both"/>
      </w:pPr>
      <w:r w:rsidRPr="00917DBE">
        <w:t>Notre responsabilité consiste à exprimer une conclusion sur les états financiers ci-joints en nous fondant sur notre examen. Nous avons effectué notre examen conformément aux normes d’examen généralement reconnues du Canada, qui exigent que nous nous conformions aux règles de déontologie pertinentes.</w:t>
      </w:r>
    </w:p>
    <w:p w14:paraId="5B89E413" w14:textId="02B3147D" w:rsidR="00917DBE" w:rsidRPr="00917DBE" w:rsidRDefault="00917DBE" w:rsidP="00CF7EA0">
      <w:pPr>
        <w:jc w:val="both"/>
      </w:pPr>
      <w:r w:rsidRPr="00917DBE">
        <w:t>Un examen d’états financiers conforme aux normes d’examen généralement reconnues du Canada est une mission d’assurance limitée. Le professionnel en exercice met en œuvre des procédures qui consistent principalement en des demandes d’informations auprès de la direction et d’autres personnes au sein de la division, selon le cas, ainsi qu’en des procédures analytiques, et évalue les éléments probants obtenus.</w:t>
      </w:r>
    </w:p>
    <w:p w14:paraId="53FFA6F6" w14:textId="77777777" w:rsidR="00917DBE" w:rsidRPr="00917DBE" w:rsidRDefault="00917DBE" w:rsidP="00CF7EA0">
      <w:pPr>
        <w:jc w:val="both"/>
      </w:pPr>
      <w:r w:rsidRPr="00917DBE">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les états financiers.</w:t>
      </w:r>
    </w:p>
    <w:p w14:paraId="67F77B09" w14:textId="77777777" w:rsidR="00917DBE" w:rsidRPr="00917DBE" w:rsidRDefault="00917DBE" w:rsidP="00917DBE">
      <w:pPr>
        <w:rPr>
          <w:b/>
          <w:bCs/>
        </w:rPr>
      </w:pPr>
      <w:r w:rsidRPr="00917DBE">
        <w:rPr>
          <w:b/>
          <w:bCs/>
        </w:rPr>
        <w:t>Conclusion</w:t>
      </w:r>
    </w:p>
    <w:p w14:paraId="1C380481" w14:textId="612B5FF4" w:rsidR="00917DBE" w:rsidRPr="00917DBE" w:rsidRDefault="00917DBE" w:rsidP="00CF7EA0">
      <w:pPr>
        <w:jc w:val="both"/>
      </w:pPr>
      <w:r w:rsidRPr="00917DBE">
        <w:t>Au cours de notre examen, nous n’avons rien relevé qui nous porte à croire que les états financiers ne donnent pas, dans tous leurs aspects significatifs, une image fidèle de la situation financière de [nom de l’entité et numéro de division] au 31 mars 2026, ainsi que des résultats de son exploitation et de ses flux de trésorerie pour l’exercice terminé à cette date, conformément aux stipulations en matière d’information financières décrites dans les Règles du ministère de la Famille.</w:t>
      </w:r>
    </w:p>
    <w:p w14:paraId="36C79CAC" w14:textId="77777777" w:rsidR="00917DBE" w:rsidRPr="00917DBE" w:rsidRDefault="00917DBE" w:rsidP="00917DBE">
      <w:pPr>
        <w:rPr>
          <w:b/>
          <w:bCs/>
        </w:rPr>
      </w:pPr>
      <w:r w:rsidRPr="00917DBE">
        <w:rPr>
          <w:b/>
          <w:bCs/>
        </w:rPr>
        <w:t>Autres points</w:t>
      </w:r>
    </w:p>
    <w:p w14:paraId="22D25338" w14:textId="77777777" w:rsidR="00917DBE" w:rsidRPr="00917DBE" w:rsidRDefault="00917DBE" w:rsidP="00CF7EA0">
      <w:pPr>
        <w:jc w:val="both"/>
      </w:pPr>
      <w:r w:rsidRPr="00917DBE">
        <w:t>[Nom de l’entité] a préparé un jeu d’états financiers pour l’exercice terminé le 31 mars 2026 conformément aux normes comptables pour les entités à capital fermé, sur lesquels nous avons délivré aux actionnaires de [Nom de l’entité] un rapport de mission d’examen daté du [Date].</w:t>
      </w:r>
    </w:p>
    <w:p w14:paraId="2186CEFC" w14:textId="08C678E0" w:rsidR="00917DBE" w:rsidRPr="00917DBE" w:rsidRDefault="00917DBE" w:rsidP="00917DBE">
      <w:pPr>
        <w:rPr>
          <w:b/>
          <w:bCs/>
        </w:rPr>
      </w:pPr>
      <w:r w:rsidRPr="00917DBE">
        <w:rPr>
          <w:b/>
          <w:bCs/>
        </w:rPr>
        <w:t xml:space="preserve">Référentiel comptable </w:t>
      </w:r>
      <w:r w:rsidRPr="00917DBE">
        <w:t xml:space="preserve">[si le professionnel en exercice </w:t>
      </w:r>
      <w:r w:rsidR="0018443F" w:rsidRPr="00917DBE">
        <w:t>souhaite</w:t>
      </w:r>
      <w:r w:rsidRPr="00917DBE">
        <w:t xml:space="preserve"> restreindre l’utilisation de son rapport : </w:t>
      </w:r>
      <w:r w:rsidRPr="00917DBE">
        <w:rPr>
          <w:b/>
          <w:bCs/>
        </w:rPr>
        <w:t>et restriction à l’utilisation</w:t>
      </w:r>
      <w:r w:rsidRPr="00917DBE">
        <w:t>]</w:t>
      </w:r>
    </w:p>
    <w:p w14:paraId="4BBF63F3" w14:textId="704C357C" w:rsidR="00917DBE" w:rsidRPr="00917DBE" w:rsidRDefault="00917DBE" w:rsidP="00CF7EA0">
      <w:pPr>
        <w:jc w:val="both"/>
        <w:rPr>
          <w:b/>
          <w:bCs/>
        </w:rPr>
      </w:pPr>
      <w:r w:rsidRPr="00917DBE">
        <w:t xml:space="preserve">Sans pour autant modifier notre conclusion, nous attirons l’attention sur la note X des états financiers qui décrit le référentiel comptable appliqué. Les états financiers ont été préparés pour permettre à l’entité de se conformer aux exigences </w:t>
      </w:r>
      <w:r w:rsidR="006F308A" w:rsidRPr="00917DBE">
        <w:t>du ministère</w:t>
      </w:r>
      <w:r w:rsidRPr="00917DBE">
        <w:t xml:space="preserve"> de la Famille. En conséquence, il est possible que les états financiers ne puissent se prêter à un usage autre. [Notre rapport est destiné uniquement à [nom de l’entité] et au ministère de la Famille et ne devrait pas être utilisé par d’autres parties.]</w:t>
      </w:r>
    </w:p>
    <w:p w14:paraId="086A4948" w14:textId="77777777" w:rsidR="00917DBE" w:rsidRPr="00917DBE" w:rsidRDefault="00917DBE" w:rsidP="00917DBE">
      <w:r w:rsidRPr="00917DBE">
        <w:t>[Signature du professionnel en exercice]</w:t>
      </w:r>
      <w:r w:rsidRPr="00917DBE">
        <w:rPr>
          <w:i/>
          <w:iCs/>
          <w:vertAlign w:val="superscript"/>
        </w:rPr>
        <w:footnoteReference w:id="8"/>
      </w:r>
    </w:p>
    <w:p w14:paraId="708A0720" w14:textId="77777777" w:rsidR="00917DBE" w:rsidRPr="00917DBE" w:rsidRDefault="00917DBE" w:rsidP="00917DBE">
      <w:r w:rsidRPr="00917DBE">
        <w:t xml:space="preserve">[Date du rapport du professionnel en exercice] </w:t>
      </w:r>
    </w:p>
    <w:p w14:paraId="7A404AC3" w14:textId="77777777" w:rsidR="00917DBE" w:rsidRPr="00917DBE" w:rsidRDefault="00917DBE" w:rsidP="00917DBE">
      <w:r w:rsidRPr="00917DBE">
        <w:t>[Adresse du professionnel en exercice]</w:t>
      </w:r>
    </w:p>
    <w:p w14:paraId="0F8109A9" w14:textId="77777777" w:rsidR="00917DBE" w:rsidRPr="00917DBE" w:rsidRDefault="00917DBE" w:rsidP="00917DBE"/>
    <w:p w14:paraId="645C64BF" w14:textId="77777777" w:rsidR="00917DBE" w:rsidRPr="00917DBE" w:rsidRDefault="00917DBE" w:rsidP="00917DBE"/>
    <w:p w14:paraId="4791D0BF" w14:textId="77777777" w:rsidR="00917DBE" w:rsidRPr="00917DBE" w:rsidRDefault="00917DBE" w:rsidP="00917DBE">
      <w:pPr>
        <w:rPr>
          <w:b/>
          <w:bCs/>
          <w:caps/>
        </w:rPr>
      </w:pPr>
      <w:r w:rsidRPr="00917DBE">
        <w:rPr>
          <w:b/>
          <w:bCs/>
          <w:caps/>
        </w:rPr>
        <w:t>Exemple de note aux états financiers présentant le référentiel comptable </w:t>
      </w:r>
    </w:p>
    <w:p w14:paraId="400215AA" w14:textId="77777777" w:rsidR="00917DBE" w:rsidRPr="00917DBE" w:rsidRDefault="00917DBE" w:rsidP="00917DBE"/>
    <w:p w14:paraId="2B05F247" w14:textId="018AAE1A" w:rsidR="00917DBE" w:rsidRPr="00917DBE" w:rsidRDefault="00917DBE" w:rsidP="00917DBE">
      <w:pPr>
        <w:rPr>
          <w:b/>
          <w:bCs/>
        </w:rPr>
      </w:pPr>
      <w:r w:rsidRPr="00917DBE">
        <w:rPr>
          <w:b/>
          <w:bCs/>
        </w:rPr>
        <w:t>Note X :</w:t>
      </w:r>
      <w:r w:rsidR="000C0A1F">
        <w:rPr>
          <w:b/>
          <w:bCs/>
        </w:rPr>
        <w:t xml:space="preserve"> </w:t>
      </w:r>
    </w:p>
    <w:p w14:paraId="1E2C4744" w14:textId="77777777" w:rsidR="00917DBE" w:rsidRPr="00917DBE" w:rsidRDefault="00917DBE" w:rsidP="00917DBE">
      <w:r w:rsidRPr="00917DBE">
        <w:t>La société comporte trois divisions :</w:t>
      </w:r>
    </w:p>
    <w:p w14:paraId="343FD44E" w14:textId="77777777" w:rsidR="00917DBE" w:rsidRPr="00917DBE" w:rsidRDefault="00917DBE" w:rsidP="000C0A1F">
      <w:pPr>
        <w:spacing w:after="0" w:line="240" w:lineRule="auto"/>
        <w:ind w:left="708"/>
      </w:pPr>
      <w:r w:rsidRPr="00917DBE">
        <w:t>La division (indiquer le numéro de permis de garde);</w:t>
      </w:r>
    </w:p>
    <w:p w14:paraId="0FC07A2C" w14:textId="77777777" w:rsidR="00917DBE" w:rsidRPr="00917DBE" w:rsidRDefault="00917DBE" w:rsidP="000C0A1F">
      <w:pPr>
        <w:spacing w:after="0" w:line="240" w:lineRule="auto"/>
        <w:ind w:left="708"/>
      </w:pPr>
      <w:r w:rsidRPr="00917DBE">
        <w:t>La division (indiquer le numéro de permis de garde); et</w:t>
      </w:r>
    </w:p>
    <w:p w14:paraId="661BA88C" w14:textId="77777777" w:rsidR="00917DBE" w:rsidRDefault="00917DBE" w:rsidP="000C0A1F">
      <w:pPr>
        <w:spacing w:after="0" w:line="240" w:lineRule="auto"/>
        <w:ind w:left="708"/>
      </w:pPr>
      <w:r w:rsidRPr="00917DBE">
        <w:t>La division (indiquer le numéro de permis de garde).</w:t>
      </w:r>
    </w:p>
    <w:p w14:paraId="158BE021" w14:textId="77777777" w:rsidR="00C23DE6" w:rsidRPr="00917DBE" w:rsidRDefault="00C23DE6" w:rsidP="00C23DE6">
      <w:pPr>
        <w:spacing w:after="0" w:line="240" w:lineRule="auto"/>
      </w:pPr>
    </w:p>
    <w:p w14:paraId="6E828457" w14:textId="5B969300" w:rsidR="00917DBE" w:rsidRPr="00917DBE" w:rsidRDefault="00917DBE" w:rsidP="00917DBE">
      <w:r w:rsidRPr="00917DBE">
        <w:t>Les présents états financiers sont ceux de la division (indiquer le numéro de permis de garde).</w:t>
      </w:r>
    </w:p>
    <w:p w14:paraId="67F6D8A5" w14:textId="3CACC083" w:rsidR="00917DBE" w:rsidRPr="00917DBE" w:rsidRDefault="00917DBE" w:rsidP="00917DBE">
      <w:r w:rsidRPr="00917DBE">
        <w:t>Des jeux supplémentaires d’états financiers sont préparés pour l’entité juridique</w:t>
      </w:r>
      <w:r w:rsidR="00296434" w:rsidRPr="00296434">
        <w:t xml:space="preserve"> </w:t>
      </w:r>
      <w:r w:rsidR="00296434" w:rsidRPr="00917DBE">
        <w:t>dans son ensemble</w:t>
      </w:r>
      <w:r w:rsidR="00296434">
        <w:t xml:space="preserve"> à des fins fiscales et de financement</w:t>
      </w:r>
      <w:r w:rsidR="001C7225">
        <w:t>, ainsi que pour</w:t>
      </w:r>
      <w:r w:rsidRPr="00917DBE">
        <w:t xml:space="preserve"> chacune de ses divisions de façon</w:t>
      </w:r>
      <w:r w:rsidR="001C7225">
        <w:t xml:space="preserve"> distincte</w:t>
      </w:r>
      <w:r w:rsidRPr="00917DBE">
        <w:t>.</w:t>
      </w:r>
    </w:p>
    <w:p w14:paraId="12C25FA2" w14:textId="7AF33458" w:rsidR="00917DBE" w:rsidRDefault="00917DBE" w:rsidP="00917DBE">
      <w:r w:rsidRPr="00917DBE">
        <w:t xml:space="preserve">La société comptabilise ses obligations envers les autorités fiscales dans les états financiers de l’entité juridique.  </w:t>
      </w:r>
    </w:p>
    <w:p w14:paraId="43FF3C9D" w14:textId="1DD160C5" w:rsidR="00206B8A" w:rsidRDefault="00206B8A" w:rsidP="00917DBE">
      <w:r>
        <w:t>Les immobilisations corporelles sont</w:t>
      </w:r>
      <w:r w:rsidR="004E0F49">
        <w:t xml:space="preserve"> réparties entre les divisions selon la superficie utilisée par chacune des divisions. </w:t>
      </w:r>
    </w:p>
    <w:p w14:paraId="088753F8" w14:textId="77777777" w:rsidR="00C81A84" w:rsidRDefault="004E0F49" w:rsidP="000C0A1F">
      <w:pPr>
        <w:spacing w:after="0" w:line="240" w:lineRule="auto"/>
      </w:pPr>
      <w:r>
        <w:tab/>
      </w:r>
      <w:r w:rsidR="00C81A84" w:rsidRPr="00917DBE">
        <w:t>Division (indiquer le numéro de permis de garde)</w:t>
      </w:r>
      <w:r w:rsidR="00C81A84" w:rsidRPr="00917DBE">
        <w:tab/>
      </w:r>
      <w:r w:rsidR="00C81A84" w:rsidRPr="00917DBE">
        <w:tab/>
        <w:t>X%</w:t>
      </w:r>
      <w:r w:rsidR="00C81A84" w:rsidRPr="00917DBE">
        <w:tab/>
      </w:r>
      <w:r w:rsidR="00C81A84" w:rsidRPr="00917DBE">
        <w:tab/>
      </w:r>
      <w:r w:rsidR="00C81A84" w:rsidRPr="00917DBE">
        <w:tab/>
        <w:t>X$</w:t>
      </w:r>
    </w:p>
    <w:p w14:paraId="33AC7376" w14:textId="77777777" w:rsidR="00C81A84" w:rsidRPr="00917DBE" w:rsidRDefault="00C81A84" w:rsidP="000C0A1F">
      <w:pPr>
        <w:spacing w:after="0" w:line="240" w:lineRule="auto"/>
      </w:pPr>
      <w:r>
        <w:tab/>
      </w:r>
      <w:r w:rsidRPr="00917DBE">
        <w:t>Division (indiquer le numéro de permis de garde)</w:t>
      </w:r>
      <w:r w:rsidRPr="00917DBE">
        <w:tab/>
      </w:r>
      <w:r w:rsidRPr="00917DBE">
        <w:tab/>
        <w:t>X%</w:t>
      </w:r>
      <w:r w:rsidRPr="00917DBE">
        <w:tab/>
      </w:r>
      <w:r w:rsidRPr="00917DBE">
        <w:tab/>
      </w:r>
      <w:r w:rsidRPr="00917DBE">
        <w:tab/>
        <w:t>X$</w:t>
      </w:r>
    </w:p>
    <w:p w14:paraId="79D65147" w14:textId="77777777" w:rsidR="00C81A84" w:rsidRPr="00917DBE" w:rsidRDefault="00C81A84" w:rsidP="000C0A1F">
      <w:pPr>
        <w:spacing w:after="0" w:line="240" w:lineRule="auto"/>
        <w:ind w:firstLine="708"/>
      </w:pPr>
      <w:r w:rsidRPr="00917DBE">
        <w:t>Division (indiquer le numéro de permis de garde)</w:t>
      </w:r>
      <w:r w:rsidRPr="00917DBE">
        <w:tab/>
      </w:r>
      <w:r w:rsidRPr="00917DBE">
        <w:tab/>
        <w:t>Y%</w:t>
      </w:r>
      <w:r w:rsidRPr="00917DBE">
        <w:tab/>
      </w:r>
      <w:r w:rsidRPr="00917DBE">
        <w:tab/>
      </w:r>
      <w:r w:rsidRPr="00917DBE">
        <w:tab/>
        <w:t>Y$</w:t>
      </w:r>
    </w:p>
    <w:p w14:paraId="2DF901B6" w14:textId="77777777" w:rsidR="00C81A84" w:rsidRPr="00917DBE" w:rsidRDefault="00C81A84" w:rsidP="000C0A1F">
      <w:pPr>
        <w:spacing w:after="0" w:line="240" w:lineRule="auto"/>
        <w:ind w:firstLine="708"/>
      </w:pPr>
      <w:r w:rsidRPr="00917DBE">
        <w:t>Division (indiquer le numéro de permis de garde)</w:t>
      </w:r>
      <w:r w:rsidRPr="00917DBE">
        <w:tab/>
      </w:r>
      <w:r w:rsidRPr="00917DBE">
        <w:tab/>
        <w:t>Z%</w:t>
      </w:r>
      <w:r w:rsidRPr="00917DBE">
        <w:tab/>
      </w:r>
      <w:r w:rsidRPr="00917DBE">
        <w:tab/>
      </w:r>
      <w:r w:rsidRPr="00917DBE">
        <w:tab/>
        <w:t>Z$</w:t>
      </w:r>
    </w:p>
    <w:p w14:paraId="44C372C4" w14:textId="77777777" w:rsidR="00C81A84" w:rsidRPr="00917DBE" w:rsidRDefault="00C81A84" w:rsidP="000C0A1F">
      <w:pPr>
        <w:spacing w:after="0" w:line="240" w:lineRule="auto"/>
        <w:ind w:firstLine="708"/>
      </w:pPr>
      <w:r w:rsidRPr="00917DBE">
        <w:t>Entité juridique</w:t>
      </w:r>
      <w:r w:rsidRPr="00917DBE">
        <w:tab/>
      </w:r>
      <w:r w:rsidRPr="00917DBE">
        <w:tab/>
      </w:r>
      <w:r w:rsidRPr="00917DBE">
        <w:tab/>
      </w:r>
      <w:r w:rsidRPr="00917DBE">
        <w:tab/>
      </w:r>
      <w:r w:rsidRPr="00917DBE">
        <w:tab/>
      </w:r>
      <w:r w:rsidRPr="00917DBE">
        <w:tab/>
      </w:r>
      <w:r w:rsidRPr="00917DBE">
        <w:tab/>
        <w:t>100%</w:t>
      </w:r>
      <w:r w:rsidRPr="00917DBE">
        <w:tab/>
      </w:r>
      <w:r w:rsidRPr="00917DBE">
        <w:tab/>
      </w:r>
      <w:r w:rsidRPr="00917DBE">
        <w:tab/>
        <w:t>Total $</w:t>
      </w:r>
    </w:p>
    <w:p w14:paraId="0DB7B683" w14:textId="1916A644" w:rsidR="00C81A84" w:rsidRPr="00917DBE" w:rsidRDefault="00C81A84" w:rsidP="00C81A84"/>
    <w:p w14:paraId="45DB7AB4" w14:textId="4A51AA46" w:rsidR="00917DBE" w:rsidRPr="00917DBE" w:rsidRDefault="00917DBE" w:rsidP="00917DBE">
      <w:r w:rsidRPr="00917DBE">
        <w:t xml:space="preserve">Les avances et les prêts entre les divisions sont indiqués dans les rubriques « autres » des actifs à court et à long terme et des passifs à court et à long terme, et les numéros des divisions concernées sont clairement identifiés dans notes aux états financiers. </w:t>
      </w:r>
    </w:p>
    <w:p w14:paraId="2B79BCFD" w14:textId="798A1DB3" w:rsidR="00917DBE" w:rsidRPr="00917DBE" w:rsidRDefault="00917DBE" w:rsidP="00917DBE">
      <w:r w:rsidRPr="00917DBE">
        <w:t>Les charges communes entre les divisions sont réparties selon les méthodes de répartition suivantes : (inclure un tableau mentionnant les noms des différentes charges et leur méthode de répartition</w:t>
      </w:r>
      <w:r w:rsidR="000C0A1F">
        <w:t>, ainsi que le total des charges réparties</w:t>
      </w:r>
      <w:r w:rsidRPr="00917DBE">
        <w:t xml:space="preserve">). </w:t>
      </w:r>
      <w:r w:rsidR="000C0A1F">
        <w:br/>
      </w:r>
      <w:r w:rsidR="000C0A1F">
        <w:br/>
      </w:r>
      <w:r w:rsidRPr="00917DBE">
        <w:t xml:space="preserve">La dette à long terme est répartie entre les divisions au prorata de l’utilisation prévue de la dette par chaque division. La méthode de répartition suivante a été utilisée pour déterminer le prorata (indiquer la méthode utilisée). La dette à long terme a été répartie ainsi entre les divisions :  </w:t>
      </w:r>
    </w:p>
    <w:p w14:paraId="78540B53" w14:textId="77777777" w:rsidR="00917DBE" w:rsidRPr="00917DBE" w:rsidRDefault="00917DBE" w:rsidP="00917DBE">
      <w:r w:rsidRPr="00917DBE">
        <w:t>Division (indiquer le numéro de permis de garde)</w:t>
      </w:r>
      <w:r w:rsidRPr="00917DBE">
        <w:tab/>
      </w:r>
      <w:r w:rsidRPr="00917DBE">
        <w:tab/>
        <w:t>X%</w:t>
      </w:r>
      <w:r w:rsidRPr="00917DBE">
        <w:tab/>
      </w:r>
      <w:r w:rsidRPr="00917DBE">
        <w:tab/>
      </w:r>
      <w:r w:rsidRPr="00917DBE">
        <w:tab/>
        <w:t>X$</w:t>
      </w:r>
    </w:p>
    <w:p w14:paraId="4B43720D" w14:textId="77777777" w:rsidR="00917DBE" w:rsidRPr="00917DBE" w:rsidRDefault="00917DBE" w:rsidP="00917DBE">
      <w:r w:rsidRPr="00917DBE">
        <w:t>Division (indiquer le numéro de permis de garde)</w:t>
      </w:r>
      <w:r w:rsidRPr="00917DBE">
        <w:tab/>
      </w:r>
      <w:r w:rsidRPr="00917DBE">
        <w:tab/>
        <w:t>Y%</w:t>
      </w:r>
      <w:r w:rsidRPr="00917DBE">
        <w:tab/>
      </w:r>
      <w:r w:rsidRPr="00917DBE">
        <w:tab/>
      </w:r>
      <w:r w:rsidRPr="00917DBE">
        <w:tab/>
        <w:t>Y$</w:t>
      </w:r>
    </w:p>
    <w:p w14:paraId="757B4326" w14:textId="77777777" w:rsidR="00917DBE" w:rsidRPr="00917DBE" w:rsidRDefault="00917DBE" w:rsidP="00917DBE">
      <w:r w:rsidRPr="00917DBE">
        <w:t>Division (indiquer le numéro de permis de garde)</w:t>
      </w:r>
      <w:r w:rsidRPr="00917DBE">
        <w:tab/>
      </w:r>
      <w:r w:rsidRPr="00917DBE">
        <w:tab/>
        <w:t>Z%</w:t>
      </w:r>
      <w:r w:rsidRPr="00917DBE">
        <w:tab/>
      </w:r>
      <w:r w:rsidRPr="00917DBE">
        <w:tab/>
      </w:r>
      <w:r w:rsidRPr="00917DBE">
        <w:tab/>
        <w:t>Z$</w:t>
      </w:r>
    </w:p>
    <w:p w14:paraId="14CBEE43" w14:textId="77777777" w:rsidR="00917DBE" w:rsidRPr="00917DBE" w:rsidRDefault="00917DBE" w:rsidP="00917DBE">
      <w:r w:rsidRPr="00917DBE">
        <w:t>Entité juridique</w:t>
      </w:r>
      <w:r w:rsidRPr="00917DBE">
        <w:tab/>
      </w:r>
      <w:r w:rsidRPr="00917DBE">
        <w:tab/>
      </w:r>
      <w:r w:rsidRPr="00917DBE">
        <w:tab/>
      </w:r>
      <w:r w:rsidRPr="00917DBE">
        <w:tab/>
      </w:r>
      <w:r w:rsidRPr="00917DBE">
        <w:tab/>
      </w:r>
      <w:r w:rsidRPr="00917DBE">
        <w:tab/>
      </w:r>
      <w:r w:rsidRPr="00917DBE">
        <w:tab/>
        <w:t>100%</w:t>
      </w:r>
      <w:r w:rsidRPr="00917DBE">
        <w:tab/>
      </w:r>
      <w:r w:rsidRPr="00917DBE">
        <w:tab/>
      </w:r>
      <w:r w:rsidRPr="00917DBE">
        <w:tab/>
        <w:t>Total $</w:t>
      </w:r>
    </w:p>
    <w:p w14:paraId="6E8031B7" w14:textId="77777777" w:rsidR="00917DBE" w:rsidRPr="00917DBE" w:rsidRDefault="00917DBE" w:rsidP="00917DBE"/>
    <w:p w14:paraId="47002E38" w14:textId="2533B70A" w:rsidR="00917DBE" w:rsidRPr="00917DBE" w:rsidRDefault="19B0018C" w:rsidP="00917DBE">
      <w:r>
        <w:t>Le capital-actions de l’entité juridique est réparti selon le nombre de places au permis de chacune de ses divisions. Le capital-actions se détaille comme suit :</w:t>
      </w:r>
    </w:p>
    <w:p w14:paraId="6CF9F42E" w14:textId="77777777" w:rsidR="00917DBE" w:rsidRPr="00917DBE" w:rsidRDefault="00917DBE" w:rsidP="00917DBE">
      <w:r w:rsidRPr="00917DBE">
        <w:t>Division (indiquer le numéro de permis de garde)</w:t>
      </w:r>
      <w:r w:rsidRPr="00917DBE">
        <w:tab/>
        <w:t xml:space="preserve">Nombre de places </w:t>
      </w:r>
      <w:r w:rsidRPr="00917DBE">
        <w:tab/>
      </w:r>
      <w:r w:rsidRPr="00917DBE">
        <w:tab/>
        <w:t>X$</w:t>
      </w:r>
    </w:p>
    <w:p w14:paraId="4C1980BF" w14:textId="77777777" w:rsidR="00917DBE" w:rsidRPr="00917DBE" w:rsidRDefault="00917DBE" w:rsidP="00917DBE">
      <w:r w:rsidRPr="00917DBE">
        <w:t>Division (indiquer le numéro de permis de garde)</w:t>
      </w:r>
      <w:r w:rsidRPr="00917DBE">
        <w:tab/>
        <w:t>Nombre de places</w:t>
      </w:r>
      <w:r w:rsidRPr="00917DBE">
        <w:tab/>
      </w:r>
      <w:r w:rsidRPr="00917DBE">
        <w:tab/>
        <w:t>Y$</w:t>
      </w:r>
    </w:p>
    <w:p w14:paraId="096CF8EE" w14:textId="77777777" w:rsidR="00917DBE" w:rsidRPr="00917DBE" w:rsidRDefault="00917DBE" w:rsidP="00917DBE">
      <w:r w:rsidRPr="00917DBE">
        <w:t>Division (indiquer le numéro de permis de garde)</w:t>
      </w:r>
      <w:r w:rsidRPr="00917DBE">
        <w:tab/>
        <w:t>Nombre de places</w:t>
      </w:r>
      <w:r w:rsidRPr="00917DBE">
        <w:tab/>
      </w:r>
      <w:r w:rsidRPr="00917DBE">
        <w:tab/>
        <w:t>Z$</w:t>
      </w:r>
    </w:p>
    <w:p w14:paraId="34967843" w14:textId="77777777" w:rsidR="00917DBE" w:rsidRPr="00917DBE" w:rsidRDefault="00917DBE" w:rsidP="00917DBE">
      <w:r w:rsidRPr="00917DBE">
        <w:t>Entité juridique</w:t>
      </w:r>
      <w:r w:rsidRPr="00917DBE">
        <w:tab/>
      </w:r>
      <w:r w:rsidRPr="00917DBE">
        <w:tab/>
      </w:r>
      <w:r w:rsidRPr="00917DBE">
        <w:tab/>
      </w:r>
      <w:r w:rsidRPr="00917DBE">
        <w:tab/>
      </w:r>
      <w:r w:rsidRPr="00917DBE">
        <w:tab/>
      </w:r>
      <w:r w:rsidRPr="00917DBE">
        <w:tab/>
        <w:t xml:space="preserve">Nombre de places </w:t>
      </w:r>
      <w:r w:rsidRPr="00917DBE">
        <w:tab/>
      </w:r>
      <w:r w:rsidRPr="00917DBE">
        <w:tab/>
        <w:t>Total $</w:t>
      </w:r>
    </w:p>
    <w:p w14:paraId="242F5641" w14:textId="3ED82BBF" w:rsidR="00D84AB5" w:rsidRDefault="00D84AB5">
      <w:r>
        <w:br w:type="page"/>
      </w:r>
    </w:p>
    <w:p w14:paraId="4FEC4ADA" w14:textId="77777777" w:rsidR="00210898" w:rsidRPr="00277A90" w:rsidRDefault="00210898" w:rsidP="00277A90">
      <w:pPr>
        <w:pStyle w:val="Titre1"/>
        <w:jc w:val="both"/>
        <w:rPr>
          <w:rStyle w:val="Titre2Car"/>
          <w:b/>
          <w:bCs/>
          <w:color w:val="3A7C22" w:themeColor="accent6" w:themeShade="BF"/>
          <w:sz w:val="40"/>
          <w:szCs w:val="40"/>
        </w:rPr>
      </w:pPr>
      <w:bookmarkStart w:id="32" w:name="_Toc228791583"/>
      <w:bookmarkStart w:id="33" w:name="_Toc228878222"/>
      <w:r w:rsidRPr="00277A90">
        <w:rPr>
          <w:rStyle w:val="Titre2Car"/>
          <w:b/>
          <w:bCs/>
          <w:color w:val="3A7C22" w:themeColor="accent6" w:themeShade="BF"/>
          <w:sz w:val="40"/>
          <w:szCs w:val="40"/>
        </w:rPr>
        <w:t>Annexe H : Rapport sur l’état de la rémunération du personnel</w:t>
      </w:r>
      <w:bookmarkEnd w:id="32"/>
      <w:bookmarkEnd w:id="33"/>
    </w:p>
    <w:p w14:paraId="35971442" w14:textId="44E33E2C" w:rsidR="00E82E63" w:rsidRPr="00E82E63" w:rsidRDefault="00E82E63" w:rsidP="00333FE9">
      <w:pPr>
        <w:pStyle w:val="Titre3"/>
        <w:jc w:val="both"/>
      </w:pPr>
      <w:r w:rsidRPr="00E82E63">
        <w:t xml:space="preserve">Annexe </w:t>
      </w:r>
      <w:r w:rsidR="00540509">
        <w:t>H</w:t>
      </w:r>
      <w:r w:rsidR="00B7521A">
        <w:t xml:space="preserve"> - </w:t>
      </w:r>
      <w:r w:rsidRPr="00E82E63">
        <w:t>CENTRES DE LA PETITE ENFANCE</w:t>
      </w:r>
      <w:r w:rsidR="0087320C">
        <w:t xml:space="preserve"> (</w:t>
      </w:r>
      <w:r w:rsidR="0087320C" w:rsidRPr="00277A90">
        <w:rPr>
          <w:b/>
          <w:bCs/>
        </w:rPr>
        <w:t>CPE</w:t>
      </w:r>
      <w:r w:rsidR="0087320C">
        <w:t>)</w:t>
      </w:r>
      <w:r w:rsidRPr="00E82E63">
        <w:t>, BUREAUX COORDONNATEURS</w:t>
      </w:r>
      <w:r w:rsidR="0087320C">
        <w:t xml:space="preserve"> (</w:t>
      </w:r>
      <w:r w:rsidR="0087320C" w:rsidRPr="00277A90">
        <w:rPr>
          <w:b/>
          <w:bCs/>
        </w:rPr>
        <w:t>BC</w:t>
      </w:r>
      <w:r w:rsidR="0087320C">
        <w:t>)</w:t>
      </w:r>
      <w:r w:rsidRPr="00E82E63">
        <w:t xml:space="preserve"> ET GARDERIES SUBVENTIONNÉES</w:t>
      </w:r>
      <w:r w:rsidR="0087320C">
        <w:t xml:space="preserve"> (</w:t>
      </w:r>
      <w:r w:rsidR="0087320C" w:rsidRPr="00277A90">
        <w:rPr>
          <w:b/>
          <w:bCs/>
        </w:rPr>
        <w:t>GS</w:t>
      </w:r>
      <w:r w:rsidR="0087320C">
        <w:t>)</w:t>
      </w:r>
      <w:r w:rsidR="006229F8">
        <w:t>,</w:t>
      </w:r>
      <w:r w:rsidR="002B1AA9">
        <w:t xml:space="preserve"> RAPPORT D’AUDIT SUR L’ÉTAT DE LA RÉMUNÉRATION DU PERSONNEL</w:t>
      </w:r>
    </w:p>
    <w:tbl>
      <w:tblPr>
        <w:tblW w:w="9955" w:type="dxa"/>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955"/>
      </w:tblGrid>
      <w:tr w:rsidR="00E82E63" w:rsidRPr="00E82E63" w14:paraId="6D5D45FD" w14:textId="77777777" w:rsidTr="00E82E63">
        <w:trPr>
          <w:trHeight w:val="4257"/>
        </w:trPr>
        <w:tc>
          <w:tcPr>
            <w:tcW w:w="9955" w:type="dxa"/>
            <w:tcBorders>
              <w:top w:val="single" w:sz="18" w:space="0" w:color="36A9E1"/>
              <w:left w:val="single" w:sz="18" w:space="0" w:color="36A9E1"/>
              <w:bottom w:val="single" w:sz="18" w:space="0" w:color="36A9E1"/>
              <w:right w:val="single" w:sz="18" w:space="0" w:color="36A9E1"/>
            </w:tcBorders>
            <w:hideMark/>
          </w:tcPr>
          <w:p w14:paraId="4A1DD0F8" w14:textId="77777777" w:rsidR="00D55ECD" w:rsidRDefault="00D55ECD" w:rsidP="00B33255">
            <w:pPr>
              <w:spacing w:after="160" w:line="259" w:lineRule="auto"/>
            </w:pPr>
          </w:p>
          <w:p w14:paraId="5C35BCB7" w14:textId="26DB677C" w:rsidR="00E82E63" w:rsidRPr="00E82E63" w:rsidRDefault="00E82E63" w:rsidP="00B33255">
            <w:pPr>
              <w:spacing w:after="160" w:line="259" w:lineRule="auto"/>
            </w:pPr>
            <w:r w:rsidRPr="00E82E63">
              <w:t>Aux fins de l’exemple ci-dessous, on suppose les circonstances suivantes</w:t>
            </w:r>
            <w:r w:rsidR="00BD69B2">
              <w:t> :</w:t>
            </w:r>
          </w:p>
          <w:p w14:paraId="0D4B1E66" w14:textId="2BACB4B2" w:rsidR="00E82E63" w:rsidRPr="00E82E63" w:rsidRDefault="00E82E63" w:rsidP="00B33255">
            <w:pPr>
              <w:numPr>
                <w:ilvl w:val="0"/>
                <w:numId w:val="12"/>
              </w:numPr>
              <w:spacing w:after="160" w:line="259" w:lineRule="auto"/>
            </w:pPr>
            <w:r w:rsidRPr="00E82E63">
              <w:t xml:space="preserve">La directive relative à l’état de la rémunération du personnel incluse dans les </w:t>
            </w:r>
            <w:r w:rsidRPr="00E82E63">
              <w:rPr>
                <w:i/>
                <w:iCs/>
              </w:rPr>
              <w:t>Règles de reddition de comptes 2025-2026</w:t>
            </w:r>
            <w:r w:rsidRPr="00E82E63">
              <w:t xml:space="preserve"> établie par le Ministère </w:t>
            </w:r>
            <w:r w:rsidR="002B1AA9">
              <w:t>constitue</w:t>
            </w:r>
            <w:r w:rsidR="002B1AA9" w:rsidRPr="00E82E63">
              <w:t xml:space="preserve"> </w:t>
            </w:r>
            <w:r w:rsidRPr="00E82E63">
              <w:t>un référentiel à usage particulier (la NCA 800 et la NCA 805 s’appliquent).</w:t>
            </w:r>
            <w:r w:rsidR="002022AD">
              <w:t xml:space="preserve"> </w:t>
            </w:r>
          </w:p>
          <w:p w14:paraId="15D9F6B0" w14:textId="77777777" w:rsidR="00E82E63" w:rsidRDefault="00E82E63" w:rsidP="00B33255">
            <w:pPr>
              <w:numPr>
                <w:ilvl w:val="0"/>
                <w:numId w:val="12"/>
              </w:numPr>
              <w:spacing w:after="160" w:line="259" w:lineRule="auto"/>
            </w:pPr>
            <w:r w:rsidRPr="00E82E63">
              <w:t>Le référentiel d’information financière applicable repose sur l’obligation de conformité (les paragraphes 36 et l’alinéa 39 b) v) de la NCA 700 ne s’appliquent pas).</w:t>
            </w:r>
          </w:p>
          <w:p w14:paraId="35B4135B" w14:textId="77777777" w:rsidR="00355CC7" w:rsidRPr="00E82E63" w:rsidRDefault="00355CC7" w:rsidP="00B33255">
            <w:pPr>
              <w:numPr>
                <w:ilvl w:val="0"/>
                <w:numId w:val="12"/>
              </w:numPr>
              <w:spacing w:after="160" w:line="259" w:lineRule="auto"/>
            </w:pPr>
            <w:r w:rsidRPr="00E82E63">
              <w:t xml:space="preserve">Le principe comptable de continuité d’exploitation n’est pas pertinent </w:t>
            </w:r>
            <w:r>
              <w:t xml:space="preserve">aux fins de cette mission </w:t>
            </w:r>
            <w:r w:rsidRPr="00E82E63">
              <w:t>(la NCA 570 ainsi que les alinéas 34 b) et 39 b) iv) de la NCA 700 ne s’appliquent pas).</w:t>
            </w:r>
          </w:p>
          <w:p w14:paraId="58575390" w14:textId="77777777" w:rsidR="00355CC7" w:rsidRPr="00E82E63" w:rsidRDefault="00355CC7" w:rsidP="00B33255">
            <w:pPr>
              <w:numPr>
                <w:ilvl w:val="0"/>
                <w:numId w:val="12"/>
              </w:numPr>
              <w:spacing w:after="160" w:line="259" w:lineRule="auto"/>
            </w:pPr>
            <w:r w:rsidRPr="00E82E63">
              <w:t>L’auditeur a conclu à l’absence d’autres informations (la NCA 720 ne s’applique pas).</w:t>
            </w:r>
          </w:p>
          <w:p w14:paraId="65D98A4A" w14:textId="77777777" w:rsidR="00E82E63" w:rsidRPr="00E82E63" w:rsidRDefault="00E82E63" w:rsidP="00B33255">
            <w:pPr>
              <w:numPr>
                <w:ilvl w:val="0"/>
                <w:numId w:val="12"/>
              </w:numPr>
              <w:spacing w:after="160" w:line="259" w:lineRule="auto"/>
            </w:pPr>
            <w:r w:rsidRPr="00E82E63">
              <w:t>La direction n’a pas le choix du référentiel d’information financière ((l’alinéa 13 b) de la NCA 800 ne s’applique pas).</w:t>
            </w:r>
          </w:p>
          <w:p w14:paraId="659B163E" w14:textId="77777777" w:rsidR="00E82E63" w:rsidRPr="00E82E63" w:rsidRDefault="00E82E63" w:rsidP="00B33255">
            <w:pPr>
              <w:numPr>
                <w:ilvl w:val="0"/>
                <w:numId w:val="12"/>
              </w:numPr>
              <w:spacing w:after="160" w:line="259" w:lineRule="auto"/>
            </w:pPr>
            <w:r w:rsidRPr="00E82E63">
              <w:t>Les personnes responsables de la surveillance du processus d’information financière ne sont pas les mêmes que celles qui sont responsables de leur préparation.</w:t>
            </w:r>
          </w:p>
          <w:p w14:paraId="09B12ECE" w14:textId="72DF1AEF" w:rsidR="00E82E63" w:rsidRPr="00E82E63" w:rsidRDefault="00E82E63" w:rsidP="004016C2">
            <w:pPr>
              <w:spacing w:after="160" w:line="259" w:lineRule="auto"/>
              <w:ind w:left="360"/>
            </w:pPr>
          </w:p>
        </w:tc>
      </w:tr>
    </w:tbl>
    <w:p w14:paraId="2E52DABF" w14:textId="77777777" w:rsidR="00E82E63" w:rsidRPr="00E82E63" w:rsidRDefault="00E82E63" w:rsidP="00E82E63"/>
    <w:p w14:paraId="3B9E9127" w14:textId="77777777" w:rsidR="00E82E63" w:rsidRPr="00E82E63" w:rsidRDefault="00E82E63" w:rsidP="00D55ECD">
      <w:pPr>
        <w:jc w:val="both"/>
        <w:rPr>
          <w:b/>
          <w:bCs/>
        </w:rPr>
      </w:pPr>
      <w:r w:rsidRPr="00E82E63">
        <w:rPr>
          <w:b/>
          <w:bCs/>
        </w:rPr>
        <w:t>RAPPORT DE L’AUDITEUR INDÉPENDANT</w:t>
      </w:r>
    </w:p>
    <w:p w14:paraId="4D334EBF" w14:textId="0763CF05" w:rsidR="00E82E63" w:rsidRPr="00E82E63" w:rsidRDefault="00E82E63" w:rsidP="00D55ECD">
      <w:pPr>
        <w:jc w:val="both"/>
      </w:pPr>
      <w:r w:rsidRPr="00E82E63">
        <w:t>Au</w:t>
      </w:r>
      <w:r w:rsidR="00F22666" w:rsidRPr="00E82E63">
        <w:t>[</w:t>
      </w:r>
      <w:r w:rsidRPr="00E82E63">
        <w:t>x</w:t>
      </w:r>
      <w:r w:rsidR="00F22666" w:rsidRPr="00E82E63">
        <w:t>]</w:t>
      </w:r>
      <w:r w:rsidRPr="00E82E63">
        <w:t xml:space="preserve"> [actionnaires, membres du conseil d’administration, propriétaire ou associés selon le statut juridique de l’entité] de [nom de l’entité</w:t>
      </w:r>
      <w:r w:rsidRPr="00E82E63" w:rsidDel="00B910E6">
        <w:t xml:space="preserve"> et lorsqu’il s’agit d’une entité juridique détenant plusieurs permis de garderies subventionnées, le numéro de division</w:t>
      </w:r>
      <w:r w:rsidRPr="00E82E63">
        <w:t>]</w:t>
      </w:r>
      <w:r w:rsidR="00D13D7B">
        <w:t>.</w:t>
      </w:r>
    </w:p>
    <w:p w14:paraId="4460DD76" w14:textId="77777777" w:rsidR="00E82E63" w:rsidRPr="00E82E63" w:rsidRDefault="00E82E63" w:rsidP="00D55ECD">
      <w:pPr>
        <w:jc w:val="both"/>
        <w:rPr>
          <w:b/>
          <w:bCs/>
        </w:rPr>
      </w:pPr>
      <w:r w:rsidRPr="00E82E63">
        <w:rPr>
          <w:b/>
          <w:bCs/>
        </w:rPr>
        <w:t>Opinion</w:t>
      </w:r>
    </w:p>
    <w:p w14:paraId="531CDD2B" w14:textId="05A6E212" w:rsidR="00E82E63" w:rsidRPr="00E82E63" w:rsidRDefault="00E82E63" w:rsidP="00D55ECD">
      <w:pPr>
        <w:jc w:val="both"/>
      </w:pPr>
      <w:r w:rsidRPr="00E82E63">
        <w:t>Nous avons effectué l’audit de l’état de la rémunération du personnel de [nom de l’entité</w:t>
      </w:r>
      <w:r w:rsidRPr="00E82E63" w:rsidDel="00B910E6">
        <w:t xml:space="preserve"> et lorsqu’il s’agit d’une entité juridique détenant plusieurs permis de garderies subventionnées, le numéro de division</w:t>
      </w:r>
      <w:r w:rsidRPr="00E82E63">
        <w:t xml:space="preserve">] (ci-après </w:t>
      </w:r>
      <w:r w:rsidR="00F938C9" w:rsidRPr="00E82E63">
        <w:t>l</w:t>
      </w:r>
      <w:proofErr w:type="gramStart"/>
      <w:r w:rsidR="00F938C9" w:rsidRPr="00E82E63">
        <w:t>’«</w:t>
      </w:r>
      <w:proofErr w:type="gramEnd"/>
      <w:r w:rsidRPr="00E82E63">
        <w:t> entité ») pour l’exercice terminé le 31 mars 2026.</w:t>
      </w:r>
    </w:p>
    <w:p w14:paraId="155DAAA4" w14:textId="2E7E1C5C" w:rsidR="00E82E63" w:rsidRPr="00E82E63" w:rsidRDefault="00E82E63" w:rsidP="00D55ECD">
      <w:pPr>
        <w:jc w:val="both"/>
      </w:pPr>
      <w:r w:rsidRPr="00E82E63">
        <w:t xml:space="preserve">À notre avis, l’état de la rémunération ci-joint de l’exercice terminé le 31 mars 2026 a été préparé, dans tous ses aspects significatifs, conformément à la directive relative à l’état de la rémunération du personnel incluse dans les </w:t>
      </w:r>
      <w:r w:rsidRPr="00E82E63">
        <w:rPr>
          <w:i/>
        </w:rPr>
        <w:t>Règles de reddition de comptes 2025-2026</w:t>
      </w:r>
      <w:r w:rsidRPr="00E82E63">
        <w:t xml:space="preserve"> établies par le ministère de la Famille</w:t>
      </w:r>
      <w:r w:rsidR="00F606B2">
        <w:t xml:space="preserve"> (ci-après la « directive »)</w:t>
      </w:r>
      <w:r w:rsidRPr="00E82E63">
        <w:t>.</w:t>
      </w:r>
    </w:p>
    <w:p w14:paraId="465DAB29" w14:textId="77777777" w:rsidR="00E82E63" w:rsidRPr="00E82E63" w:rsidRDefault="00E82E63" w:rsidP="00F274FD">
      <w:pPr>
        <w:rPr>
          <w:b/>
          <w:bCs/>
        </w:rPr>
      </w:pPr>
      <w:r w:rsidRPr="00E82E63">
        <w:rPr>
          <w:b/>
          <w:bCs/>
        </w:rPr>
        <w:t>Fondement de l’opinion</w:t>
      </w:r>
    </w:p>
    <w:p w14:paraId="127C0DED" w14:textId="77777777" w:rsidR="00E82E63" w:rsidRPr="00E82E63" w:rsidRDefault="00E82E63" w:rsidP="00516F3D">
      <w:pPr>
        <w:jc w:val="both"/>
      </w:pPr>
      <w:r w:rsidRPr="00E82E63">
        <w:t>Nous avons effectué notre audit conformément aux normes d’audit généralement reconnues du Canada. Les responsabilités qui nous incombent en vertu de ces normes sont plus amplement décrites dans la section « Responsabilités de l’auditeur à l’égard de l’état de la rémunération » du présent rapport. Nous sommes indépendants de l’entité conformément aux règles de déontologie qui s’appliquent à notre audit de l’état de la rémunération au Canada et nous nous sommes acquittés des autres responsabilités déontologiques qui nous incombent selon ces règles. Nous estimons que les éléments probants que nous avons obtenus sont suffisants et appropriés pour fonder notre opinion d’audit.</w:t>
      </w:r>
    </w:p>
    <w:p w14:paraId="3C2F0242" w14:textId="1DB2BA0B" w:rsidR="00E82E63" w:rsidRPr="00E82E63" w:rsidRDefault="00E82E63" w:rsidP="00E22F17">
      <w:pPr>
        <w:rPr>
          <w:b/>
        </w:rPr>
      </w:pPr>
      <w:bookmarkStart w:id="34" w:name="_Hlk529341049"/>
      <w:r w:rsidRPr="00E82E63">
        <w:rPr>
          <w:b/>
        </w:rPr>
        <w:t>Observation – Référentiel comptable et restriction à la diffusion</w:t>
      </w:r>
    </w:p>
    <w:p w14:paraId="72766A8D" w14:textId="1F29DC85" w:rsidR="00E82E63" w:rsidRPr="00E82E63" w:rsidRDefault="00E82E63" w:rsidP="00516F3D">
      <w:pPr>
        <w:jc w:val="both"/>
      </w:pPr>
      <w:r w:rsidRPr="00E82E63">
        <w:t xml:space="preserve">Nous attirons l’attention </w:t>
      </w:r>
      <w:r w:rsidRPr="00C9099A">
        <w:t xml:space="preserve">sur le fait que l’état de la rémunération a été préparé conformément à la directive relative à l’état de la rémunération du personnel incluse dans les </w:t>
      </w:r>
      <w:r w:rsidRPr="00C9099A">
        <w:rPr>
          <w:i/>
        </w:rPr>
        <w:t>Règles de reddition de comptes 2025-2026</w:t>
      </w:r>
      <w:r w:rsidRPr="00C9099A">
        <w:t xml:space="preserve"> établies par le ministère de la Famille. En conséquence, il est</w:t>
      </w:r>
      <w:r w:rsidRPr="00E82E63">
        <w:t xml:space="preserve"> possible que l’état de la rémunération ne puisse se prêter à un usage autre. Notre rapport est destiné uniquement à [nom de l’entité] et au ministère de la Famille et ne devrait pas être diffusé à d’autres parties. Notre opinion n’est pas modifiée à l’égard de ce point</w:t>
      </w:r>
      <w:bookmarkEnd w:id="34"/>
      <w:r w:rsidRPr="00E82E63">
        <w:t>.</w:t>
      </w:r>
    </w:p>
    <w:p w14:paraId="43E2957D" w14:textId="77777777" w:rsidR="00E82E63" w:rsidRPr="00E82E63" w:rsidRDefault="00E82E63" w:rsidP="00516F3D">
      <w:pPr>
        <w:jc w:val="both"/>
        <w:rPr>
          <w:b/>
        </w:rPr>
      </w:pPr>
      <w:r w:rsidRPr="00E82E63">
        <w:rPr>
          <w:b/>
        </w:rPr>
        <w:t>Responsabilités de la direction et des responsables de la gouvernance à l’égard de l’état de la rémunération</w:t>
      </w:r>
    </w:p>
    <w:p w14:paraId="668DB666" w14:textId="77777777" w:rsidR="00E82E63" w:rsidRPr="00E82E63" w:rsidRDefault="00E82E63" w:rsidP="00516F3D">
      <w:pPr>
        <w:jc w:val="both"/>
      </w:pPr>
      <w:r w:rsidRPr="00AA10BC">
        <w:t xml:space="preserve">La direction est responsable de la préparation de l’état de la rémunération conformément à la directive relative à l’état de la rémunération du personnel incluse dans les </w:t>
      </w:r>
      <w:r w:rsidRPr="00AA10BC">
        <w:rPr>
          <w:i/>
        </w:rPr>
        <w:t>Règles de reddition de comptes 2025-2026</w:t>
      </w:r>
      <w:r w:rsidRPr="00AA10BC">
        <w:t xml:space="preserve"> établies par le ministère de la Famille, ainsi que du contrôle interne qu’elle considère comme nécessaire pour permettre la préparation d’un état de la rémunération exempt</w:t>
      </w:r>
      <w:r w:rsidRPr="00E82E63">
        <w:t xml:space="preserve"> d’anomalies significatives, que celles-ci résultent de fraudes ou d’erreurs.</w:t>
      </w:r>
    </w:p>
    <w:p w14:paraId="659B46A9" w14:textId="77777777" w:rsidR="00E82E63" w:rsidRPr="00E82E63" w:rsidRDefault="00E82E63" w:rsidP="00516F3D">
      <w:pPr>
        <w:jc w:val="both"/>
      </w:pPr>
      <w:r w:rsidRPr="00E82E63">
        <w:t>Il incombe aux responsables de la gouvernance de surveiller le processus d’information financière de l’entité.</w:t>
      </w:r>
    </w:p>
    <w:p w14:paraId="10F2B8E9" w14:textId="77777777" w:rsidR="00E82E63" w:rsidRPr="00E82E63" w:rsidRDefault="00E82E63" w:rsidP="00516F3D">
      <w:pPr>
        <w:jc w:val="both"/>
        <w:rPr>
          <w:b/>
        </w:rPr>
      </w:pPr>
      <w:r w:rsidRPr="00E82E63">
        <w:rPr>
          <w:b/>
        </w:rPr>
        <w:t>Responsabilités de l’auditeur à l’égard de l’état de la rémunération</w:t>
      </w:r>
    </w:p>
    <w:p w14:paraId="3A089FBC" w14:textId="08AB2C91" w:rsidR="00F274FD" w:rsidRDefault="00E82E63">
      <w:pPr>
        <w:jc w:val="both"/>
      </w:pPr>
      <w:r w:rsidRPr="00E82E63">
        <w:t>Nos objectifs sont d’obtenir l’assurance raisonnable que l’état de la rémunération est exempt d’anomalies significatives, que celles-ci résultent de fraudes ou d’erreurs, et de délivrer un rapport de l’auditeur contenant notre opinion. L’assurance raisonnable correspond à un niveau élevé d’assurance, qui ne garantit toutefois pas qu’un audit réalisé conformément aux normes d’audit généralement reconnues du Canada permettra toujours de détecter toute anomalie significative qui pourrait exister. Les anomalies peuvent résulter de fraudes ou d’erreurs et elles sont considérées comme significatives lorsqu’il est raisonnable de s’attendre à ce qu’elles, individuellement ou collectivement, puissent influer sur les décisions économiques que les utilisateurs de l’état de la rémunération prennent en se fondant sur celui-ci.</w:t>
      </w:r>
    </w:p>
    <w:p w14:paraId="10B13412" w14:textId="1E54E602" w:rsidR="00E82E63" w:rsidRPr="00E82E63" w:rsidRDefault="00E82E63" w:rsidP="00516F3D">
      <w:pPr>
        <w:jc w:val="both"/>
      </w:pPr>
      <w:r w:rsidRPr="00E82E63">
        <w:t>Dans le cadre d’un audit réalisé conformément aux normes d’audit généralement reconnues du Canada, nous exerçons notre jugement professionnel et faisons preuve d’esprit critique tout au long de cet audit. En outre :</w:t>
      </w:r>
    </w:p>
    <w:p w14:paraId="792754CD" w14:textId="77777777" w:rsidR="00E82E63" w:rsidRPr="00E82E63" w:rsidRDefault="00E82E63" w:rsidP="00516F3D">
      <w:pPr>
        <w:pStyle w:val="Paragraphedeliste"/>
        <w:numPr>
          <w:ilvl w:val="0"/>
          <w:numId w:val="18"/>
        </w:numPr>
        <w:jc w:val="both"/>
      </w:pPr>
      <w:r w:rsidRPr="00E82E63">
        <w:t>nous identifions et évaluons les risques que l’état de la rémunération comporte des anomalies significatives, que celles-ci résultent de fraudes ou d’erreurs, concevons et mettons en œuvre des procédures d’audit en réponse à ces risques, et réunissons des éléments probants suffisants et appropriés pour fonder notre 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p>
    <w:p w14:paraId="74ED3A80" w14:textId="77777777" w:rsidR="00E82E63" w:rsidRPr="00516F3D" w:rsidRDefault="00E82E63" w:rsidP="00FB7AE8">
      <w:pPr>
        <w:pStyle w:val="Paragraphedeliste-Carr"/>
        <w:numPr>
          <w:ilvl w:val="0"/>
          <w:numId w:val="18"/>
        </w:numPr>
        <w:rPr>
          <w:rFonts w:ascii="Arial" w:hAnsi="Arial"/>
          <w:sz w:val="20"/>
          <w:szCs w:val="20"/>
        </w:rPr>
      </w:pPr>
      <w:r w:rsidRPr="00516F3D">
        <w:rPr>
          <w:rFonts w:ascii="Arial" w:hAnsi="Arial"/>
          <w:sz w:val="20"/>
          <w:szCs w:val="20"/>
        </w:rPr>
        <w:t>nous acquérons une compréhension des éléments du contrôle interne pertinents pour l’audit afin de concevoir des procédures d’audit appropriées aux circonstances, et non dans le but d’exprimer une opinion sur l’efficacité du contrôle interne de l’entité;</w:t>
      </w:r>
    </w:p>
    <w:p w14:paraId="4BEA2E6B" w14:textId="77777777" w:rsidR="00E82E63" w:rsidRPr="00516F3D" w:rsidRDefault="00E82E63" w:rsidP="00FB7AE8">
      <w:pPr>
        <w:pStyle w:val="Paragraphedeliste-Carr"/>
        <w:numPr>
          <w:ilvl w:val="0"/>
          <w:numId w:val="18"/>
        </w:numPr>
        <w:rPr>
          <w:rFonts w:ascii="Arial" w:hAnsi="Arial"/>
          <w:sz w:val="20"/>
          <w:szCs w:val="20"/>
        </w:rPr>
      </w:pPr>
      <w:r w:rsidRPr="00516F3D">
        <w:rPr>
          <w:rFonts w:ascii="Arial" w:hAnsi="Arial"/>
          <w:sz w:val="20"/>
          <w:szCs w:val="20"/>
        </w:rPr>
        <w:t>nous apprécions le caractère approprié des méthodes comptables retenues et le caractère raisonnable des estimations comptables faites par la direction, le cas échéant, de même que des informations y afférentes fournies par cette dernière.</w:t>
      </w:r>
    </w:p>
    <w:p w14:paraId="7203AAB1" w14:textId="77777777" w:rsidR="00E82E63" w:rsidRPr="00E82E63" w:rsidRDefault="00E82E63" w:rsidP="00516F3D">
      <w:pPr>
        <w:jc w:val="both"/>
      </w:pPr>
      <w:r w:rsidRPr="00E82E63">
        <w:t>Nous communiquons aux responsables de la gouvernance notamment l’étendue et le calendrier prévus des travaux d’audit et nos constatations importantes, y compris toute déficience importante du contrôle interne que nous aurions relevée au cours de notre audit.</w:t>
      </w:r>
    </w:p>
    <w:p w14:paraId="11B830C1" w14:textId="77777777" w:rsidR="00E82E63" w:rsidRPr="00E82E63" w:rsidRDefault="00E82E63" w:rsidP="00516F3D">
      <w:pPr>
        <w:jc w:val="both"/>
      </w:pPr>
    </w:p>
    <w:p w14:paraId="623317AE" w14:textId="77777777" w:rsidR="00E82E63" w:rsidRPr="00E82E63" w:rsidRDefault="00E82E63" w:rsidP="00516F3D">
      <w:pPr>
        <w:jc w:val="both"/>
      </w:pPr>
      <w:r w:rsidRPr="00E82E63">
        <w:t>[Signature de l’auditeur]</w:t>
      </w:r>
      <w:r w:rsidRPr="00E82E63">
        <w:rPr>
          <w:i/>
          <w:iCs/>
          <w:vertAlign w:val="superscript"/>
        </w:rPr>
        <w:footnoteReference w:id="9"/>
      </w:r>
    </w:p>
    <w:p w14:paraId="5D20578F" w14:textId="77777777" w:rsidR="00E82E63" w:rsidRPr="00E82E63" w:rsidRDefault="00E82E63" w:rsidP="00516F3D">
      <w:pPr>
        <w:jc w:val="both"/>
      </w:pPr>
      <w:r w:rsidRPr="00E82E63">
        <w:t xml:space="preserve">[Date du rapport de l’auditeur] </w:t>
      </w:r>
    </w:p>
    <w:p w14:paraId="3CCBF1A0" w14:textId="77777777" w:rsidR="00E82E63" w:rsidRPr="00E82E63" w:rsidRDefault="00E82E63" w:rsidP="00516F3D">
      <w:pPr>
        <w:jc w:val="both"/>
      </w:pPr>
      <w:r w:rsidRPr="00E82E63">
        <w:t>[Adresse de l’auditeur]</w:t>
      </w:r>
    </w:p>
    <w:bookmarkEnd w:id="27"/>
    <w:bookmarkEnd w:id="28"/>
    <w:p w14:paraId="0984A5D5" w14:textId="77777777" w:rsidR="00E82E63" w:rsidRPr="00E82E63" w:rsidRDefault="00E82E63" w:rsidP="00E82E63">
      <w:pPr>
        <w:sectPr w:rsidR="00E82E63" w:rsidRPr="00E82E63" w:rsidSect="00E82E63">
          <w:pgSz w:w="12240" w:h="15840"/>
          <w:pgMar w:top="1440" w:right="1077" w:bottom="1077" w:left="1077" w:header="720" w:footer="357" w:gutter="0"/>
          <w:cols w:space="720"/>
        </w:sectPr>
      </w:pPr>
    </w:p>
    <w:p w14:paraId="2266C57B" w14:textId="77777777" w:rsidR="00340071" w:rsidRPr="00277A90" w:rsidRDefault="00340071" w:rsidP="00333FE9">
      <w:pPr>
        <w:pStyle w:val="Titre1"/>
        <w:jc w:val="both"/>
        <w:rPr>
          <w:rStyle w:val="Titre2Car"/>
          <w:b/>
          <w:bCs/>
          <w:color w:val="3A7C22" w:themeColor="accent6" w:themeShade="BF"/>
          <w:sz w:val="40"/>
          <w:szCs w:val="40"/>
        </w:rPr>
      </w:pPr>
      <w:bookmarkStart w:id="35" w:name="_Toc228791584"/>
      <w:bookmarkStart w:id="36" w:name="_Toc228878223"/>
      <w:r w:rsidRPr="00277A90">
        <w:rPr>
          <w:rStyle w:val="Titre2Car"/>
          <w:b/>
          <w:bCs/>
          <w:color w:val="3A7C22" w:themeColor="accent6" w:themeShade="BF"/>
          <w:sz w:val="40"/>
          <w:szCs w:val="40"/>
        </w:rPr>
        <w:t>Annexe I : Rapport sur l’état des subventions octroyées aux RSGE</w:t>
      </w:r>
      <w:bookmarkEnd w:id="35"/>
      <w:bookmarkEnd w:id="36"/>
    </w:p>
    <w:p w14:paraId="0970A5FA" w14:textId="61465AF2" w:rsidR="00B910E6" w:rsidRPr="00333FE9" w:rsidRDefault="00E82E63" w:rsidP="0052466F">
      <w:pPr>
        <w:pStyle w:val="Titre3"/>
        <w:jc w:val="both"/>
      </w:pPr>
      <w:r w:rsidRPr="0052466F">
        <w:t xml:space="preserve">Annexe </w:t>
      </w:r>
      <w:r w:rsidR="00AE0B52" w:rsidRPr="0052466F">
        <w:t>I</w:t>
      </w:r>
      <w:r w:rsidR="00C46EE4" w:rsidRPr="0052466F">
        <w:t xml:space="preserve"> - </w:t>
      </w:r>
      <w:r w:rsidRPr="0052466F">
        <w:t>BUREAUX COORDONNATEURS</w:t>
      </w:r>
      <w:r w:rsidR="006229F8">
        <w:t xml:space="preserve"> (</w:t>
      </w:r>
      <w:r w:rsidR="006229F8" w:rsidRPr="00277A90">
        <w:rPr>
          <w:b/>
          <w:bCs/>
        </w:rPr>
        <w:t>BC</w:t>
      </w:r>
      <w:r w:rsidR="006229F8">
        <w:t>)</w:t>
      </w:r>
      <w:r w:rsidR="0052466F">
        <w:t xml:space="preserve">, </w:t>
      </w:r>
      <w:r w:rsidR="0072705F" w:rsidRPr="00333FE9">
        <w:t xml:space="preserve">RAPPORT </w:t>
      </w:r>
      <w:r w:rsidR="004E3490" w:rsidRPr="00333FE9">
        <w:t xml:space="preserve">DE MISSION </w:t>
      </w:r>
      <w:r w:rsidR="0072705F" w:rsidRPr="00333FE9">
        <w:t>D’EXAMEN SUR L’ÉTAT DES SUBVENTIONS OCTROYÉES AUX RSGE</w:t>
      </w:r>
      <w:r w:rsidR="00B910E6" w:rsidRPr="00333FE9">
        <w:t xml:space="preserve"> </w:t>
      </w:r>
    </w:p>
    <w:p w14:paraId="1E7F714F" w14:textId="419C2590" w:rsidR="00E82E63" w:rsidRPr="0072705F" w:rsidRDefault="00E82E63" w:rsidP="00E82E63">
      <w:pPr>
        <w:rPr>
          <w:b/>
          <w:bCs/>
          <w:lang w:val="fr-FR"/>
        </w:rPr>
      </w:pPr>
    </w:p>
    <w:tbl>
      <w:tblPr>
        <w:tblW w:w="9978" w:type="dxa"/>
        <w:tblBorders>
          <w:top w:val="single" w:sz="18" w:space="0" w:color="36A9E1"/>
          <w:left w:val="single" w:sz="18" w:space="0" w:color="36A9E1"/>
          <w:bottom w:val="single" w:sz="18" w:space="0" w:color="36A9E1"/>
          <w:right w:val="single" w:sz="18" w:space="0" w:color="36A9E1"/>
          <w:insideH w:val="single" w:sz="18" w:space="0" w:color="36A9E1"/>
          <w:insideV w:val="single" w:sz="18" w:space="0" w:color="36A9E1"/>
        </w:tblBorders>
        <w:tblLook w:val="04A0" w:firstRow="1" w:lastRow="0" w:firstColumn="1" w:lastColumn="0" w:noHBand="0" w:noVBand="1"/>
      </w:tblPr>
      <w:tblGrid>
        <w:gridCol w:w="9978"/>
      </w:tblGrid>
      <w:tr w:rsidR="00E82E63" w:rsidRPr="00E82E63" w14:paraId="30FC919F" w14:textId="77777777" w:rsidTr="00E82E63">
        <w:trPr>
          <w:trHeight w:val="2335"/>
        </w:trPr>
        <w:tc>
          <w:tcPr>
            <w:tcW w:w="9978" w:type="dxa"/>
            <w:tcBorders>
              <w:top w:val="single" w:sz="18" w:space="0" w:color="36A9E1"/>
              <w:left w:val="single" w:sz="18" w:space="0" w:color="36A9E1"/>
              <w:bottom w:val="single" w:sz="18" w:space="0" w:color="36A9E1"/>
              <w:right w:val="single" w:sz="18" w:space="0" w:color="36A9E1"/>
            </w:tcBorders>
            <w:hideMark/>
          </w:tcPr>
          <w:p w14:paraId="1A2AAF61" w14:textId="77777777" w:rsidR="00E82E63" w:rsidRPr="00E82E63" w:rsidRDefault="00E82E63" w:rsidP="00A07C4C">
            <w:pPr>
              <w:spacing w:line="259" w:lineRule="auto"/>
              <w:ind w:left="720"/>
            </w:pPr>
          </w:p>
          <w:p w14:paraId="7296E13F" w14:textId="74FA1C45" w:rsidR="00E82E63" w:rsidRDefault="00E82E63" w:rsidP="00A07C4C">
            <w:r w:rsidRPr="00E82E63">
              <w:t>Aux fins de l’exemple ci-dessous, on suppose les circonstances suivantes</w:t>
            </w:r>
            <w:r w:rsidR="00BD69B2">
              <w:t> :</w:t>
            </w:r>
          </w:p>
          <w:p w14:paraId="5754B43A" w14:textId="77777777" w:rsidR="00DD6665" w:rsidRPr="00E82E63" w:rsidRDefault="00DD6665" w:rsidP="00A07C4C">
            <w:pPr>
              <w:pStyle w:val="Paragraphedeliste"/>
            </w:pPr>
          </w:p>
          <w:p w14:paraId="0BA8FEA1" w14:textId="18D3EAF1" w:rsidR="00DD6665" w:rsidRDefault="00E82E63" w:rsidP="00A07C4C">
            <w:pPr>
              <w:pStyle w:val="Paragraphedeliste"/>
              <w:numPr>
                <w:ilvl w:val="0"/>
                <w:numId w:val="16"/>
              </w:numPr>
            </w:pPr>
            <w:r w:rsidRPr="00E82E63">
              <w:t xml:space="preserve">La directive relative à l’état des subventions octroyées aux RSGE incluse dans les </w:t>
            </w:r>
            <w:r w:rsidRPr="00DD6665">
              <w:rPr>
                <w:i/>
                <w:iCs/>
              </w:rPr>
              <w:t>Règles de reddition de comptes 2025-2026</w:t>
            </w:r>
            <w:r w:rsidRPr="00E82E63">
              <w:t xml:space="preserve"> établies par le Ministère est un référentiel à usage particulier (la NCME 2400 s’applique (paragraphe 2</w:t>
            </w:r>
            <w:r w:rsidR="0030284C">
              <w:t>)</w:t>
            </w:r>
            <w:r w:rsidRPr="00E82E63">
              <w:t>).</w:t>
            </w:r>
          </w:p>
          <w:p w14:paraId="3C0E4CE7" w14:textId="77777777" w:rsidR="00DD6665" w:rsidRPr="00E82E63" w:rsidRDefault="00DD6665" w:rsidP="00A07C4C">
            <w:pPr>
              <w:pStyle w:val="Paragraphedeliste"/>
            </w:pPr>
          </w:p>
          <w:p w14:paraId="7E7D88F8" w14:textId="77777777" w:rsidR="00E82E63" w:rsidRPr="00E82E63" w:rsidRDefault="00E82E63" w:rsidP="00A07C4C">
            <w:pPr>
              <w:pStyle w:val="Paragraphedeliste"/>
              <w:numPr>
                <w:ilvl w:val="0"/>
                <w:numId w:val="16"/>
              </w:numPr>
              <w:spacing w:after="120"/>
              <w:ind w:left="714" w:hanging="357"/>
            </w:pPr>
            <w:r w:rsidRPr="00E82E63">
              <w:t xml:space="preserve">Les personnes responsables de la surveillance du processus d’information financière ne sont pas les mêmes que celles qui sont responsables de leur préparation. </w:t>
            </w:r>
          </w:p>
        </w:tc>
      </w:tr>
    </w:tbl>
    <w:p w14:paraId="646B6098" w14:textId="77777777" w:rsidR="00E82E63" w:rsidRPr="00E82E63" w:rsidRDefault="00E82E63" w:rsidP="00E82E63"/>
    <w:p w14:paraId="06658D46" w14:textId="77777777" w:rsidR="00E82E63" w:rsidRPr="00E82E63" w:rsidRDefault="00E82E63" w:rsidP="00433BF0">
      <w:pPr>
        <w:jc w:val="both"/>
        <w:rPr>
          <w:b/>
          <w:bCs/>
        </w:rPr>
      </w:pPr>
      <w:r w:rsidRPr="00E82E63">
        <w:rPr>
          <w:b/>
          <w:bCs/>
        </w:rPr>
        <w:t>RAPPORT DE MISSION D’EXAMEN DU PROFESSIONNEL EN EXERCICE INDÉPENDANT</w:t>
      </w:r>
    </w:p>
    <w:p w14:paraId="00E9790C" w14:textId="4E298550" w:rsidR="00E82E63" w:rsidRPr="00E82E63" w:rsidRDefault="00E82E63" w:rsidP="00433BF0">
      <w:pPr>
        <w:jc w:val="both"/>
      </w:pPr>
      <w:r w:rsidRPr="00E82E63">
        <w:t>Au</w:t>
      </w:r>
      <w:r w:rsidR="002922D3">
        <w:t>x</w:t>
      </w:r>
      <w:r w:rsidRPr="00E82E63">
        <w:t xml:space="preserve"> membres du conseil d’administration de [nom de l’</w:t>
      </w:r>
      <w:r w:rsidR="2A4F8850">
        <w:t>organisme</w:t>
      </w:r>
      <w:r w:rsidRPr="00E82E63">
        <w:t>],</w:t>
      </w:r>
    </w:p>
    <w:p w14:paraId="17D560D5" w14:textId="4EE41257" w:rsidR="00E82E63" w:rsidRPr="00E82E63" w:rsidRDefault="00E82E63" w:rsidP="00433BF0">
      <w:pPr>
        <w:jc w:val="both"/>
      </w:pPr>
      <w:r w:rsidRPr="00E82E63">
        <w:t xml:space="preserve">Nous avons effectué l’examen de l’état des subventions octroyées aux personnes responsables d’un service de garde éducatif en milieu familial (RSGE) </w:t>
      </w:r>
      <w:r w:rsidR="009D3D04">
        <w:t>ci-joint</w:t>
      </w:r>
      <w:r>
        <w:t xml:space="preserve"> </w:t>
      </w:r>
      <w:r w:rsidRPr="00E82E63">
        <w:t xml:space="preserve">de [nom de </w:t>
      </w:r>
      <w:r w:rsidRPr="00E82E63" w:rsidDel="00197A4A">
        <w:t>l’organisme</w:t>
      </w:r>
      <w:r>
        <w:t xml:space="preserve">] (ci-après </w:t>
      </w:r>
      <w:r w:rsidR="00D06D75">
        <w:t>l</w:t>
      </w:r>
      <w:proofErr w:type="gramStart"/>
      <w:r w:rsidR="00D06D75">
        <w:t>’«</w:t>
      </w:r>
      <w:proofErr w:type="gramEnd"/>
      <w:r>
        <w:t> organisme ») pour l’exercice terminé le 31 mars 2026</w:t>
      </w:r>
      <w:r w:rsidR="004202B9">
        <w:t>.</w:t>
      </w:r>
      <w:r w:rsidR="00674980">
        <w:rPr>
          <w:highlight w:val="yellow"/>
        </w:rPr>
        <w:t xml:space="preserve"> </w:t>
      </w:r>
    </w:p>
    <w:p w14:paraId="6FF089F1" w14:textId="74193A2F" w:rsidR="00E82E63" w:rsidRPr="00E82E63" w:rsidRDefault="00E82E63" w:rsidP="00433BF0">
      <w:pPr>
        <w:jc w:val="both"/>
        <w:rPr>
          <w:b/>
          <w:bCs/>
        </w:rPr>
      </w:pPr>
      <w:r w:rsidRPr="00E82E63">
        <w:rPr>
          <w:b/>
          <w:bCs/>
        </w:rPr>
        <w:t>Responsabilité de la direction à l’égard de l’état des subventions</w:t>
      </w:r>
    </w:p>
    <w:p w14:paraId="79E8E197" w14:textId="77777777" w:rsidR="00E82E63" w:rsidRPr="00E82E63" w:rsidRDefault="00E82E63" w:rsidP="00433BF0">
      <w:pPr>
        <w:jc w:val="both"/>
      </w:pPr>
      <w:r w:rsidRPr="004E3490">
        <w:t xml:space="preserve">La direction est responsable de la préparation de l’état des subventions conformément à la directive relative à l’état des subventions octroyées aux RSGE incluse dans les </w:t>
      </w:r>
      <w:r w:rsidRPr="004E3490">
        <w:rPr>
          <w:i/>
        </w:rPr>
        <w:t>Règles de reddition de comptes 2025-2026</w:t>
      </w:r>
      <w:r w:rsidRPr="004E3490">
        <w:t xml:space="preserve"> établies par le ministère de la Famille, ainsi</w:t>
      </w:r>
      <w:r w:rsidRPr="00E82E63">
        <w:t xml:space="preserve"> que du contrôle interne qu’elle considère comme nécessaire pour permettre la préparation d’un état des subventions exempt d’anomalies significatives, que celles-ci résultent de fraudes ou d’erreurs.</w:t>
      </w:r>
    </w:p>
    <w:p w14:paraId="762349D3" w14:textId="06DA048E" w:rsidR="00E82E63" w:rsidRPr="00E82E63" w:rsidRDefault="00E82E63" w:rsidP="00433BF0">
      <w:pPr>
        <w:jc w:val="both"/>
        <w:rPr>
          <w:b/>
          <w:bCs/>
        </w:rPr>
      </w:pPr>
      <w:r w:rsidRPr="00E82E63">
        <w:rPr>
          <w:b/>
          <w:bCs/>
        </w:rPr>
        <w:t>Responsabilité du professionnel en exercice à l’égard de l’état des subventions</w:t>
      </w:r>
    </w:p>
    <w:p w14:paraId="42D41A1D" w14:textId="2DF7E791" w:rsidR="00E82E63" w:rsidRPr="00E82E63" w:rsidRDefault="00E82E63" w:rsidP="00433BF0">
      <w:pPr>
        <w:jc w:val="both"/>
      </w:pPr>
      <w:r w:rsidRPr="00E82E63">
        <w:t>Notre responsabilité consiste à exprimer une conclusion sur l’état des subventions octroyées aux RSGE ci-joint en nous fondant sur notre examen. Nous avons effectué notre examen conformément aux normes d’examen généralement reconnues du Canada, qui exigent que nous nous conformions aux règles de déontologie pertinentes.</w:t>
      </w:r>
    </w:p>
    <w:p w14:paraId="5DFAAB1E" w14:textId="77777777" w:rsidR="00E82E63" w:rsidRPr="00E82E63" w:rsidRDefault="00E82E63" w:rsidP="00433BF0">
      <w:pPr>
        <w:jc w:val="both"/>
      </w:pPr>
      <w:r w:rsidRPr="00E82E63">
        <w:t>Un examen d’informations financières conforme aux normes d’examen généralement reconnues du Canada est une mission d’assurance limitée. Le professionnel en exercice met en œuvre des procédures qui consistent principalement en des demandes d’informations auprès de la direction et d’autres personnes au sein de l’organisme, selon le cas, ainsi qu’en des procédures analytiques, et évalue les éléments probants obtenus.</w:t>
      </w:r>
    </w:p>
    <w:p w14:paraId="74837CE8" w14:textId="77777777" w:rsidR="00E82E63" w:rsidRPr="00E82E63" w:rsidRDefault="00E82E63" w:rsidP="00433BF0">
      <w:pPr>
        <w:jc w:val="both"/>
      </w:pPr>
      <w:r w:rsidRPr="00E82E63">
        <w:t>Les procédures mises en œuvre dans un examen sont considérablement plus restreintes en étendue que celles mises en œuvre dans un audit réalisé conformément aux normes d’audit généralement reconnues du Canada, et elles sont de nature différente. Par conséquent, nous n’exprimons pas une opinion d’audit sur l’état des subventions.</w:t>
      </w:r>
    </w:p>
    <w:p w14:paraId="735BB668" w14:textId="77777777" w:rsidR="00E82E63" w:rsidRPr="00E82E63" w:rsidRDefault="00E82E63" w:rsidP="00433BF0">
      <w:pPr>
        <w:jc w:val="both"/>
        <w:rPr>
          <w:b/>
          <w:bCs/>
        </w:rPr>
      </w:pPr>
      <w:r w:rsidRPr="00E82E63">
        <w:rPr>
          <w:b/>
          <w:bCs/>
        </w:rPr>
        <w:t>Conclusion</w:t>
      </w:r>
    </w:p>
    <w:p w14:paraId="2071A3CD" w14:textId="2A0CDB05" w:rsidR="00E82E63" w:rsidRPr="00E82E63" w:rsidRDefault="00E82E63" w:rsidP="00433BF0">
      <w:pPr>
        <w:jc w:val="both"/>
      </w:pPr>
      <w:r w:rsidRPr="00E82E63">
        <w:t xml:space="preserve">Au cours de notre examen, nous n’avons rien relevé qui nous porte à croire que l’état des subventions octroyées aux RSGE de [nom de </w:t>
      </w:r>
      <w:r w:rsidRPr="00E82E63" w:rsidDel="00C66E9F">
        <w:t>l’organisme</w:t>
      </w:r>
      <w:r w:rsidRPr="00E82E63">
        <w:t xml:space="preserve">] pour </w:t>
      </w:r>
      <w:r w:rsidRPr="00512641">
        <w:t xml:space="preserve">l’exercice terminé le 31 mars 2026 n’a pas été préparé, dans tous ses aspects significatifs, conformément à la directive relative à l’état des subventions octroyées aux RSGE incluse dans les </w:t>
      </w:r>
      <w:r w:rsidRPr="00512641">
        <w:rPr>
          <w:i/>
        </w:rPr>
        <w:t>Règles de reddition de comptes 2025-2026</w:t>
      </w:r>
      <w:r w:rsidRPr="00512641">
        <w:t>.</w:t>
      </w:r>
      <w:r w:rsidRPr="00E82E63">
        <w:t xml:space="preserve"> </w:t>
      </w:r>
    </w:p>
    <w:p w14:paraId="42A5B83A" w14:textId="623879F8" w:rsidR="00E82E63" w:rsidRPr="00512641" w:rsidRDefault="00E82E63" w:rsidP="00433BF0">
      <w:pPr>
        <w:jc w:val="both"/>
        <w:rPr>
          <w:b/>
        </w:rPr>
      </w:pPr>
      <w:bookmarkStart w:id="37" w:name="_Hlk125372259"/>
      <w:r w:rsidRPr="00E82E63">
        <w:rPr>
          <w:b/>
          <w:bCs/>
        </w:rPr>
        <w:t xml:space="preserve">Observation – Référentiel comptable </w:t>
      </w:r>
      <w:r w:rsidRPr="00512641">
        <w:rPr>
          <w:b/>
        </w:rPr>
        <w:t xml:space="preserve">et restriction à la diffusion </w:t>
      </w:r>
    </w:p>
    <w:p w14:paraId="6A997138" w14:textId="14F367DD" w:rsidR="00E82E63" w:rsidRPr="00E82E63" w:rsidRDefault="00E82E63" w:rsidP="00433BF0">
      <w:pPr>
        <w:jc w:val="both"/>
      </w:pPr>
      <w:r w:rsidRPr="00512641">
        <w:t xml:space="preserve">Nous attirons l’attention </w:t>
      </w:r>
      <w:r w:rsidRPr="00D06D75">
        <w:t>sur</w:t>
      </w:r>
      <w:r w:rsidR="00433BF0" w:rsidRPr="00512641">
        <w:t xml:space="preserve"> le</w:t>
      </w:r>
      <w:r w:rsidRPr="00512641">
        <w:t xml:space="preserve"> fait que l’état des subventions a été</w:t>
      </w:r>
      <w:r w:rsidRPr="00433BF0">
        <w:t xml:space="preserve"> préparé conformément à la directive relative à l’état</w:t>
      </w:r>
      <w:r w:rsidRPr="00E82E63">
        <w:t xml:space="preserve"> des subventions octroyées aux RSGE incluse dans les </w:t>
      </w:r>
      <w:r w:rsidRPr="00E82E63">
        <w:rPr>
          <w:i/>
        </w:rPr>
        <w:t>Règles de reddition de comptes 2025-2026</w:t>
      </w:r>
      <w:r w:rsidRPr="00E82E63">
        <w:t xml:space="preserve"> établies par le ministère de la Famille. En conséquence, il est possible que l’état des subventions ne puisse se prêter à un usage autre. Notre rapport est destiné uniquement à [nom de l’</w:t>
      </w:r>
      <w:r w:rsidR="3398BB1B">
        <w:t>organisme</w:t>
      </w:r>
      <w:r w:rsidRPr="00E82E63">
        <w:t>] et au ministère de la Famille et ne devrait pas être diffusé à d’autres parties</w:t>
      </w:r>
      <w:r>
        <w:t>.</w:t>
      </w:r>
    </w:p>
    <w:p w14:paraId="1B995D9E" w14:textId="77777777" w:rsidR="00E82E63" w:rsidRPr="00E82E63" w:rsidRDefault="00E82E63" w:rsidP="00433BF0">
      <w:pPr>
        <w:jc w:val="both"/>
      </w:pPr>
    </w:p>
    <w:p w14:paraId="65A93BEE" w14:textId="77777777" w:rsidR="00E82E63" w:rsidRPr="00E82E63" w:rsidRDefault="00E82E63" w:rsidP="00433BF0">
      <w:pPr>
        <w:jc w:val="both"/>
      </w:pPr>
      <w:r w:rsidRPr="00E82E63">
        <w:t>[Signature du professionnel en exercice]</w:t>
      </w:r>
      <w:r w:rsidRPr="00E82E63">
        <w:rPr>
          <w:vertAlign w:val="superscript"/>
        </w:rPr>
        <w:footnoteReference w:id="10"/>
      </w:r>
    </w:p>
    <w:p w14:paraId="286D08E2" w14:textId="77777777" w:rsidR="00E82E63" w:rsidRPr="00E82E63" w:rsidRDefault="00E82E63" w:rsidP="00433BF0">
      <w:pPr>
        <w:jc w:val="both"/>
      </w:pPr>
      <w:r w:rsidRPr="00E82E63">
        <w:t xml:space="preserve">[Date du rapport du professionnel en exercice] </w:t>
      </w:r>
    </w:p>
    <w:p w14:paraId="3954054F" w14:textId="3D391536" w:rsidR="006C491E" w:rsidRDefault="00E82E63" w:rsidP="00433BF0">
      <w:pPr>
        <w:jc w:val="both"/>
      </w:pPr>
      <w:r w:rsidRPr="00E82E63">
        <w:t>[Adresse du professionnel en exercice]</w:t>
      </w:r>
      <w:r w:rsidR="006C491E" w:rsidRPr="00E82E63" w:rsidDel="006C491E">
        <w:t xml:space="preserve"> </w:t>
      </w:r>
      <w:r w:rsidR="006C491E">
        <w:br w:type="page"/>
      </w:r>
    </w:p>
    <w:p w14:paraId="357E32D3" w14:textId="77777777" w:rsidR="00FB00AE" w:rsidRPr="00277A90" w:rsidRDefault="00FB00AE" w:rsidP="00FB00AE">
      <w:pPr>
        <w:pStyle w:val="Titre1"/>
        <w:jc w:val="both"/>
        <w:rPr>
          <w:b/>
          <w:bCs/>
        </w:rPr>
      </w:pPr>
      <w:bookmarkStart w:id="38" w:name="_Toc228791585"/>
      <w:bookmarkStart w:id="39" w:name="_Toc228878224"/>
      <w:r w:rsidRPr="00277A90">
        <w:rPr>
          <w:rStyle w:val="Titre2Car"/>
          <w:b/>
          <w:bCs/>
          <w:color w:val="3A7C22" w:themeColor="accent6" w:themeShade="BF"/>
          <w:sz w:val="40"/>
          <w:szCs w:val="40"/>
        </w:rPr>
        <w:t>Annexe J : Rapport sur l’état de l’occupation</w:t>
      </w:r>
      <w:r w:rsidRPr="00277A90">
        <w:rPr>
          <w:b/>
          <w:bCs/>
        </w:rPr>
        <w:t xml:space="preserve"> et des présences réelles des enfants</w:t>
      </w:r>
      <w:bookmarkEnd w:id="38"/>
      <w:bookmarkEnd w:id="39"/>
    </w:p>
    <w:p w14:paraId="3502ECDD" w14:textId="4F1C3AA5" w:rsidR="00E82E63" w:rsidRPr="00277A90" w:rsidRDefault="006C491E" w:rsidP="00277A90">
      <w:pPr>
        <w:pStyle w:val="Titre3"/>
        <w:jc w:val="both"/>
        <w:rPr>
          <w:caps/>
        </w:rPr>
      </w:pPr>
      <w:r w:rsidRPr="00776C5C">
        <w:t xml:space="preserve">Annexe </w:t>
      </w:r>
      <w:r w:rsidR="00D06D75" w:rsidRPr="00776C5C">
        <w:t>J</w:t>
      </w:r>
      <w:r w:rsidR="002568DF" w:rsidRPr="00776C5C">
        <w:t xml:space="preserve"> - </w:t>
      </w:r>
      <w:r w:rsidR="00E82E63" w:rsidRPr="00776C5C">
        <w:t>CENTRES DE LA PETITE ENFANCE</w:t>
      </w:r>
      <w:r w:rsidR="00776C5C">
        <w:t xml:space="preserve"> (</w:t>
      </w:r>
      <w:r w:rsidR="00776C5C" w:rsidRPr="00277A90">
        <w:rPr>
          <w:b/>
          <w:bCs/>
        </w:rPr>
        <w:t>CPE</w:t>
      </w:r>
      <w:r w:rsidR="00776C5C">
        <w:t>)</w:t>
      </w:r>
      <w:r w:rsidR="00E82E63" w:rsidRPr="00776C5C">
        <w:t>, BUREAUX COORDONNATEURS</w:t>
      </w:r>
      <w:r w:rsidR="00776C5C">
        <w:t xml:space="preserve"> (</w:t>
      </w:r>
      <w:r w:rsidR="00776C5C" w:rsidRPr="00277A90">
        <w:rPr>
          <w:b/>
          <w:bCs/>
        </w:rPr>
        <w:t>BC</w:t>
      </w:r>
      <w:r w:rsidR="00776C5C">
        <w:t>)</w:t>
      </w:r>
      <w:r w:rsidR="00E82E63" w:rsidRPr="00776C5C">
        <w:t xml:space="preserve"> ET GARDERIES SUBVENTIONNÉES</w:t>
      </w:r>
      <w:r w:rsidR="00776C5C">
        <w:t xml:space="preserve"> (</w:t>
      </w:r>
      <w:r w:rsidR="00776C5C" w:rsidRPr="00277A90">
        <w:rPr>
          <w:b/>
          <w:bCs/>
        </w:rPr>
        <w:t>GS</w:t>
      </w:r>
      <w:r w:rsidR="00776C5C">
        <w:t>)</w:t>
      </w:r>
      <w:r w:rsidR="00776C5C" w:rsidRPr="00776C5C">
        <w:t>,</w:t>
      </w:r>
      <w:r w:rsidR="00277A90">
        <w:t xml:space="preserve"> </w:t>
      </w:r>
      <w:r w:rsidR="00E82E63" w:rsidRPr="00277A90">
        <w:t xml:space="preserve">RAPPORT D’ASSURANCE RAISONNABLE DU PROFESSIONNEL EN EXERCICE INDÉPENDANT </w:t>
      </w:r>
      <w:r w:rsidR="00E82E63" w:rsidRPr="00277A90">
        <w:rPr>
          <w:caps/>
        </w:rPr>
        <w:t>sur l’état de l’occupation et des présences réelles des enfants</w:t>
      </w:r>
    </w:p>
    <w:p w14:paraId="1A9735DB" w14:textId="77777777" w:rsidR="006D46B8" w:rsidRDefault="006D46B8" w:rsidP="00433BF0">
      <w:pPr>
        <w:jc w:val="both"/>
      </w:pPr>
    </w:p>
    <w:p w14:paraId="4C45A1EB" w14:textId="38E95CE2" w:rsidR="00E82E63" w:rsidRPr="00E82E63" w:rsidRDefault="00E82E63" w:rsidP="00433BF0">
      <w:pPr>
        <w:jc w:val="both"/>
      </w:pPr>
      <w:r w:rsidRPr="00E82E63">
        <w:t>Au</w:t>
      </w:r>
      <w:r w:rsidR="000172E7" w:rsidRPr="00E82E63">
        <w:t>[</w:t>
      </w:r>
      <w:r w:rsidRPr="00E82E63">
        <w:t>x</w:t>
      </w:r>
      <w:r w:rsidR="000172E7" w:rsidRPr="00E82E63">
        <w:t>]</w:t>
      </w:r>
      <w:r w:rsidRPr="00E82E63">
        <w:t xml:space="preserve"> [actionnaires, membres du conseil d’administration, propriétaire ou associés, selon le statut juridique de l’ent</w:t>
      </w:r>
      <w:r w:rsidR="000172E7">
        <w:t>ité</w:t>
      </w:r>
      <w:r w:rsidRPr="00E82E63">
        <w:t>] de [nom de l’entité</w:t>
      </w:r>
      <w:r w:rsidRPr="00E82E63" w:rsidDel="003B1F37">
        <w:t xml:space="preserve"> et lorsqu’il s’agit d’une entité juridique détenant plusieurs permis de garderies subventionnées, le numéro de division</w:t>
      </w:r>
      <w:r w:rsidRPr="00E82E63">
        <w:t>],</w:t>
      </w:r>
    </w:p>
    <w:p w14:paraId="266180BA" w14:textId="43DD12E9" w:rsidR="00E82E63" w:rsidRPr="00E82E63" w:rsidRDefault="00E82E63" w:rsidP="00433BF0">
      <w:pPr>
        <w:jc w:val="both"/>
      </w:pPr>
      <w:r w:rsidRPr="00E82E63">
        <w:t>Nous avons réalisé une mission d’assurance raisonnable à l’égard de l’état de l’occupation et des présences réelles des enfants ci-joint de [nom de l’entité</w:t>
      </w:r>
      <w:r w:rsidRPr="00E82E63" w:rsidDel="002A77B2">
        <w:t xml:space="preserve"> et lorsqu’il s’agit d’une entité juridique détenant plusieurs permis de garderies subventionnées, le numéro de division</w:t>
      </w:r>
      <w:r w:rsidRPr="00E82E63">
        <w:t>] pour l’exercice terminé le 31 mars 2026 (ci-après « l’état »).</w:t>
      </w:r>
    </w:p>
    <w:p w14:paraId="05941692" w14:textId="74ED6937" w:rsidR="00E82E63" w:rsidRPr="00E82E63" w:rsidRDefault="00E82E63" w:rsidP="00433BF0">
      <w:pPr>
        <w:jc w:val="both"/>
        <w:rPr>
          <w:b/>
          <w:bCs/>
        </w:rPr>
      </w:pPr>
      <w:r w:rsidRPr="00E82E63">
        <w:rPr>
          <w:b/>
          <w:bCs/>
        </w:rPr>
        <w:t xml:space="preserve">Responsabilité de la direction </w:t>
      </w:r>
    </w:p>
    <w:p w14:paraId="3A08CE28" w14:textId="30D4EE7C" w:rsidR="00E82E63" w:rsidRPr="00E82E63" w:rsidRDefault="00E82E63" w:rsidP="00433BF0">
      <w:pPr>
        <w:jc w:val="both"/>
        <w:rPr>
          <w:b/>
        </w:rPr>
      </w:pPr>
      <w:r w:rsidRPr="00E82E63">
        <w:t xml:space="preserve">La direction est responsable de la préparation de l’état, conformément à la directive relative à l’état de l’occupation et des présences réelles des enfants incluse dans les </w:t>
      </w:r>
      <w:r w:rsidRPr="00E82E63">
        <w:rPr>
          <w:i/>
        </w:rPr>
        <w:t xml:space="preserve">Règles de reddition de comptes 2025-2026 </w:t>
      </w:r>
      <w:r w:rsidRPr="00E82E63">
        <w:t xml:space="preserve">établies par le ministère de la Famille (ci-après « la directive »). Elle est également responsable du contrôle interne qu’elle considère comme nécessaire pour permettre la préparation d’un état exempt d’anomalies significatives, que celles-ci résultent de fraude ou d’erreurs. </w:t>
      </w:r>
    </w:p>
    <w:p w14:paraId="7ED9B45C" w14:textId="77777777" w:rsidR="00E82E63" w:rsidRPr="00E82E63" w:rsidRDefault="00E82E63" w:rsidP="00433BF0">
      <w:pPr>
        <w:jc w:val="both"/>
        <w:rPr>
          <w:b/>
          <w:bCs/>
        </w:rPr>
      </w:pPr>
      <w:r w:rsidRPr="00E82E63">
        <w:rPr>
          <w:b/>
          <w:bCs/>
        </w:rPr>
        <w:t>Notre responsabilité</w:t>
      </w:r>
    </w:p>
    <w:p w14:paraId="0E5CAFDF" w14:textId="3821D51F" w:rsidR="00E82E63" w:rsidRPr="00E82E63" w:rsidRDefault="00E82E63" w:rsidP="00433BF0">
      <w:pPr>
        <w:jc w:val="both"/>
      </w:pPr>
      <w:r w:rsidRPr="00E82E63">
        <w:t xml:space="preserve">Notre responsabilité consiste à exprimer une opinion sous forme d’assurance raisonnable sur l’état, sur la base des éléments probants que nous avons obtenus. Nous avons effectué notre mission d’assurance raisonnable conformément à la Norme canadienne de missions de certification (NCMC) 3000, </w:t>
      </w:r>
      <w:r w:rsidRPr="00E82E63">
        <w:rPr>
          <w:i/>
        </w:rPr>
        <w:t>Missions d’attestation autres que les audits ou examens d’informations financières historiques</w:t>
      </w:r>
      <w:r w:rsidRPr="00E82E63">
        <w:t>. Cette norme requiert que nous planifiions et réalisions la mission de façon à obtenir l’assurance raisonnable que l’état ne comporte pas d’anomalies significatives.</w:t>
      </w:r>
    </w:p>
    <w:p w14:paraId="17641010" w14:textId="7635C9A8" w:rsidR="00E82E63" w:rsidRPr="00E82E63" w:rsidRDefault="00E82E63" w:rsidP="00433BF0">
      <w:pPr>
        <w:jc w:val="both"/>
      </w:pPr>
      <w:r w:rsidRPr="00E82E63">
        <w:t xml:space="preserve">L’assurance raisonnable correspond à un niveau élevé d’assurance, qui ne garantit toutefois pas qu’une mission réalisée conformément à la norme permettra toujours de détecter les anomalies significatives qui pourraient exister. La nature, le calendrier et l’étendue des procédures choisies relèvent de notre jugement professionnel, et notamment de notre évaluation des risques que l’état comporte des anomalies significatives, que celles-ci résultent de fraudes ou d’erreurs, et nécessitent d’obtenir des éléments probants concernant la préparation de l’état conformément à la directive. </w:t>
      </w:r>
    </w:p>
    <w:p w14:paraId="74C8EC05" w14:textId="77777777" w:rsidR="00E82E63" w:rsidRPr="00E82E63" w:rsidRDefault="00E82E63" w:rsidP="00433BF0">
      <w:pPr>
        <w:jc w:val="both"/>
      </w:pPr>
      <w:r w:rsidRPr="00E82E63">
        <w:t xml:space="preserve">Nous estimons que les éléments probants que nous avons obtenus sont suffisants et appropriés pour fonder notre opinion. </w:t>
      </w:r>
    </w:p>
    <w:p w14:paraId="23CFDDEB" w14:textId="026356CA" w:rsidR="00E82E63" w:rsidRPr="00E82E63" w:rsidRDefault="00E82E63" w:rsidP="00433BF0">
      <w:pPr>
        <w:jc w:val="both"/>
      </w:pPr>
      <w:r w:rsidRPr="00E82E63">
        <w:rPr>
          <w:b/>
        </w:rPr>
        <w:t>Notre indépendance et notre gestion de la qualité</w:t>
      </w:r>
    </w:p>
    <w:p w14:paraId="788148E6" w14:textId="77777777" w:rsidR="00E82E63" w:rsidRPr="00E82E63" w:rsidRDefault="00E82E63" w:rsidP="00433BF0">
      <w:pPr>
        <w:jc w:val="both"/>
      </w:pPr>
      <w:r w:rsidRPr="00E82E63">
        <w:t>Nous nous sommes conformés aux règles ou au code de déontologie pertinents applicables à l’exercice de l’expertise comptable et se rapportant aux missions de certification, qui sont publiés par les différents organismes professionnels comptables, lesquels reposent sur les principes fondamentaux d’intégrité, d’objectivité, de compétence professionnelle et de diligence, de confidentialité et de conduite professionnelle.</w:t>
      </w:r>
    </w:p>
    <w:p w14:paraId="4DBEB29A" w14:textId="486C32A7" w:rsidR="00E82E63" w:rsidRPr="00E82E63" w:rsidRDefault="00E82E63" w:rsidP="00433BF0">
      <w:pPr>
        <w:jc w:val="both"/>
        <w:rPr>
          <w:b/>
        </w:rPr>
      </w:pPr>
      <w:r w:rsidRPr="00E82E63">
        <w:t>Le cabinet applique la Norme canadienne de gestion de la qualité</w:t>
      </w:r>
      <w:r w:rsidR="00F606B2">
        <w:t xml:space="preserve"> (NCGQ)</w:t>
      </w:r>
      <w:r w:rsidRPr="00E82E63">
        <w:t> </w:t>
      </w:r>
      <w:hyperlink r:id="rId12">
        <w:r w:rsidRPr="3920A691">
          <w:rPr>
            <w:rStyle w:val="Lienhypertexte"/>
          </w:rPr>
          <w:t>1</w:t>
        </w:r>
      </w:hyperlink>
      <w:r w:rsidRPr="00E82E63">
        <w:t>, </w:t>
      </w:r>
      <w:r w:rsidRPr="00E82E63">
        <w:rPr>
          <w:i/>
          <w:iCs/>
        </w:rPr>
        <w:t>Gestion de la qualité par les cabinets qui réalisent des audits ou des examens d’états financiers, ou d’autres missions de certification ou de services connexes</w:t>
      </w:r>
      <w:r w:rsidRPr="00E82E63">
        <w:t>. Cette norme exige du cabinet qu’il conçoive, mette en place et fasse fonctionner un système de gestion de la qualité qui comprend des politiques ou des procédures en ce qui concerne la conformité aux règles de déontologie, aux normes professionnelles et aux exigences légales et réglementaires applicables.</w:t>
      </w:r>
    </w:p>
    <w:p w14:paraId="721EC26F" w14:textId="76CCC819" w:rsidR="00E82E63" w:rsidRPr="00E82E63" w:rsidRDefault="00E82E63" w:rsidP="00433BF0">
      <w:pPr>
        <w:jc w:val="both"/>
      </w:pPr>
      <w:r w:rsidRPr="00E82E63">
        <w:rPr>
          <w:b/>
        </w:rPr>
        <w:t>Opinion</w:t>
      </w:r>
    </w:p>
    <w:p w14:paraId="66B62B35" w14:textId="17CF46F2" w:rsidR="00E82E63" w:rsidRPr="00E82E63" w:rsidRDefault="00E82E63" w:rsidP="00433BF0">
      <w:pPr>
        <w:jc w:val="both"/>
        <w:rPr>
          <w:b/>
        </w:rPr>
      </w:pPr>
      <w:r w:rsidRPr="00E82E63">
        <w:t>À notre avis, l’état de l’occupation et des présences réelles des enfants de [nom de l’entité</w:t>
      </w:r>
      <w:r w:rsidR="004960AE">
        <w:t xml:space="preserve"> </w:t>
      </w:r>
      <w:r w:rsidR="004960AE" w:rsidRPr="00E82E63" w:rsidDel="002A77B2">
        <w:t>et lorsqu’il s’agit d’une entité juridique détenant plusieurs permis de garderies subventionnées, le numéro de division</w:t>
      </w:r>
      <w:r w:rsidRPr="00E82E63">
        <w:t>] pour l’exercice terminé le 31 mars 2026 a été préparé, dans tous ses aspects significatifs, conformément à la directive.</w:t>
      </w:r>
    </w:p>
    <w:p w14:paraId="4189753E" w14:textId="4A7F8262" w:rsidR="00E82E63" w:rsidRPr="00E82E63" w:rsidRDefault="00E82E63" w:rsidP="00433BF0">
      <w:pPr>
        <w:jc w:val="both"/>
      </w:pPr>
      <w:r w:rsidRPr="00E82E63">
        <w:rPr>
          <w:b/>
        </w:rPr>
        <w:t xml:space="preserve">Critères applicables et restriction à l’utilisation </w:t>
      </w:r>
    </w:p>
    <w:p w14:paraId="51639C38" w14:textId="3C5F57A0" w:rsidR="00E82E63" w:rsidRPr="00E82E63" w:rsidRDefault="00E82E63" w:rsidP="00433BF0">
      <w:pPr>
        <w:jc w:val="both"/>
      </w:pPr>
      <w:r w:rsidRPr="00E82E63">
        <w:t>L’état a été préparé conformément à la directive afin de rendre compte au ministère de la Famille. En conséquence, il est possible que l’état ne puisse se prêter à un usage autre. Notre rapport est destiné uniquement à [nom de l’entité] et au ministère de la Famille et ne devrait pas être utilisé par d’autres parties.</w:t>
      </w:r>
    </w:p>
    <w:p w14:paraId="756D023B" w14:textId="77777777" w:rsidR="00E82E63" w:rsidRPr="00E82E63" w:rsidRDefault="00E82E63" w:rsidP="00433BF0">
      <w:pPr>
        <w:jc w:val="both"/>
      </w:pPr>
    </w:p>
    <w:p w14:paraId="71FB953B" w14:textId="77777777" w:rsidR="00E82E63" w:rsidRPr="00E82E63" w:rsidRDefault="00E82E63" w:rsidP="00433BF0">
      <w:pPr>
        <w:jc w:val="both"/>
      </w:pPr>
    </w:p>
    <w:p w14:paraId="5B98E5C1" w14:textId="77777777" w:rsidR="00E82E63" w:rsidRPr="00E82E63" w:rsidRDefault="00E82E63" w:rsidP="00433BF0">
      <w:pPr>
        <w:jc w:val="both"/>
      </w:pPr>
      <w:r w:rsidRPr="00E82E63">
        <w:t>[Signature du professionnel en exercice]</w:t>
      </w:r>
      <w:r w:rsidRPr="00E82E63">
        <w:rPr>
          <w:vertAlign w:val="superscript"/>
        </w:rPr>
        <w:footnoteReference w:id="11"/>
      </w:r>
    </w:p>
    <w:p w14:paraId="7F051BC7" w14:textId="4A4FD730" w:rsidR="003818D0" w:rsidRDefault="00E82E63" w:rsidP="004016C2">
      <w:pPr>
        <w:jc w:val="both"/>
        <w:rPr>
          <w:caps/>
        </w:rPr>
      </w:pPr>
      <w:r w:rsidRPr="00E82E63">
        <w:t xml:space="preserve">[Date du rapport du professionnel en exercice] </w:t>
      </w:r>
      <w:bookmarkEnd w:id="37"/>
    </w:p>
    <w:sectPr w:rsidR="003818D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0A1D" w14:textId="77777777" w:rsidR="00047D67" w:rsidRDefault="00047D67" w:rsidP="00E82E63">
      <w:pPr>
        <w:spacing w:after="0" w:line="240" w:lineRule="auto"/>
      </w:pPr>
      <w:r>
        <w:separator/>
      </w:r>
    </w:p>
  </w:endnote>
  <w:endnote w:type="continuationSeparator" w:id="0">
    <w:p w14:paraId="0F46F669" w14:textId="77777777" w:rsidR="00047D67" w:rsidRDefault="00047D67" w:rsidP="00E82E63">
      <w:pPr>
        <w:spacing w:after="0" w:line="240" w:lineRule="auto"/>
      </w:pPr>
      <w:r>
        <w:continuationSeparator/>
      </w:r>
    </w:p>
  </w:endnote>
  <w:endnote w:type="continuationNotice" w:id="1">
    <w:p w14:paraId="1A45130E" w14:textId="77777777" w:rsidR="00047D67" w:rsidRDefault="00047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DEFE" w14:textId="77777777" w:rsidR="00047D67" w:rsidRDefault="00047D67" w:rsidP="00E82E63">
      <w:pPr>
        <w:spacing w:after="0" w:line="240" w:lineRule="auto"/>
      </w:pPr>
      <w:r>
        <w:separator/>
      </w:r>
    </w:p>
  </w:footnote>
  <w:footnote w:type="continuationSeparator" w:id="0">
    <w:p w14:paraId="7C8EFAB9" w14:textId="77777777" w:rsidR="00047D67" w:rsidRDefault="00047D67" w:rsidP="00E82E63">
      <w:pPr>
        <w:spacing w:after="0" w:line="240" w:lineRule="auto"/>
      </w:pPr>
      <w:r>
        <w:continuationSeparator/>
      </w:r>
    </w:p>
  </w:footnote>
  <w:footnote w:type="continuationNotice" w:id="1">
    <w:p w14:paraId="61D9736E" w14:textId="77777777" w:rsidR="00047D67" w:rsidRDefault="00047D67">
      <w:pPr>
        <w:spacing w:after="0" w:line="240" w:lineRule="auto"/>
      </w:pPr>
    </w:p>
  </w:footnote>
  <w:footnote w:id="2">
    <w:p w14:paraId="28F40F79" w14:textId="77777777" w:rsidR="00E82E63" w:rsidRDefault="00E82E63" w:rsidP="00293DA5">
      <w:pPr>
        <w:pStyle w:val="Notedebasdepage"/>
        <w:rPr>
          <w:rFonts w:cstheme="minorHAnsi"/>
          <w:color w:val="0000FF"/>
          <w:sz w:val="16"/>
          <w:szCs w:val="16"/>
        </w:rPr>
      </w:pPr>
      <w:r>
        <w:rPr>
          <w:rStyle w:val="Appelnotedebasdep"/>
          <w:rFonts w:cstheme="minorHAnsi"/>
          <w:color w:val="0000FF"/>
          <w:szCs w:val="16"/>
        </w:rPr>
        <w:footnoteRef/>
      </w:r>
      <w:r>
        <w:rPr>
          <w:rFonts w:cstheme="minorHAnsi"/>
          <w:color w:val="0000FF"/>
          <w:szCs w:val="16"/>
        </w:rPr>
        <w:tab/>
      </w:r>
      <w:hyperlink r:id="rId1"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3">
    <w:p w14:paraId="360268F4" w14:textId="77777777" w:rsidR="00E82E63" w:rsidRDefault="00E82E63" w:rsidP="00E82E63">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2"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4">
    <w:p w14:paraId="158123DF" w14:textId="77777777" w:rsidR="00E82E63" w:rsidRDefault="00E82E63" w:rsidP="00E82E63">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3"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5">
    <w:p w14:paraId="1649E394" w14:textId="77777777" w:rsidR="00E82E63" w:rsidRDefault="00E82E63" w:rsidP="00E82E63">
      <w:pPr>
        <w:pStyle w:val="Notedebasdepage"/>
        <w:rPr>
          <w:rFonts w:ascii="Calibri" w:hAnsi="Calibri" w:cs="Calibri"/>
          <w:color w:val="0000FF"/>
          <w:szCs w:val="16"/>
        </w:rPr>
      </w:pPr>
      <w:r>
        <w:rPr>
          <w:rStyle w:val="Appelnotedebasdep"/>
          <w:rFonts w:cs="Calibri"/>
          <w:color w:val="0000FF"/>
          <w:szCs w:val="16"/>
        </w:rPr>
        <w:footnoteRef/>
      </w:r>
      <w:r>
        <w:rPr>
          <w:rFonts w:cs="Calibri"/>
          <w:color w:val="0000FF"/>
          <w:szCs w:val="16"/>
        </w:rPr>
        <w:tab/>
      </w:r>
      <w:hyperlink r:id="rId4" w:history="1">
        <w:r>
          <w:rPr>
            <w:rStyle w:val="Lienhypertexte"/>
            <w:rFonts w:cs="Calibri"/>
            <w:szCs w:val="16"/>
          </w:rPr>
          <w:t>http://cpaquebec.ca/fr/membres-cpa/obligations/permis-de-comptabilite-publique/modeles-de-signature/</w:t>
        </w:r>
      </w:hyperlink>
      <w:r>
        <w:rPr>
          <w:rFonts w:cs="Calibri"/>
          <w:color w:val="0000FF"/>
          <w:szCs w:val="16"/>
        </w:rPr>
        <w:t xml:space="preserve"> </w:t>
      </w:r>
    </w:p>
  </w:footnote>
  <w:footnote w:id="6">
    <w:p w14:paraId="2BAC55C5" w14:textId="77777777" w:rsidR="00E82E63" w:rsidRDefault="00E82E63" w:rsidP="00E82E63">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5"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7">
    <w:p w14:paraId="5BDB252B" w14:textId="77777777" w:rsidR="00F811EC" w:rsidRDefault="00F811EC" w:rsidP="00F811EC">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6"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8">
    <w:p w14:paraId="2C030626" w14:textId="77777777" w:rsidR="00917DBE" w:rsidRDefault="00917DBE" w:rsidP="00917DBE">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7"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9">
    <w:p w14:paraId="0D633877" w14:textId="77777777" w:rsidR="00E82E63" w:rsidRDefault="00E82E63" w:rsidP="00E82E63">
      <w:pPr>
        <w:pStyle w:val="Notedebasdepage"/>
        <w:rPr>
          <w:rFonts w:cstheme="minorHAnsi"/>
          <w:color w:val="0000FF"/>
          <w:szCs w:val="16"/>
        </w:rPr>
      </w:pPr>
      <w:r>
        <w:rPr>
          <w:rStyle w:val="Appelnotedebasdep"/>
          <w:rFonts w:cstheme="minorHAnsi"/>
          <w:color w:val="0000FF"/>
          <w:szCs w:val="16"/>
        </w:rPr>
        <w:footnoteRef/>
      </w:r>
      <w:r>
        <w:rPr>
          <w:rFonts w:cstheme="minorHAnsi"/>
          <w:color w:val="0000FF"/>
          <w:szCs w:val="16"/>
        </w:rPr>
        <w:tab/>
      </w:r>
      <w:hyperlink r:id="rId8" w:history="1">
        <w:r>
          <w:rPr>
            <w:rStyle w:val="Lienhypertexte"/>
            <w:rFonts w:cstheme="minorHAnsi"/>
            <w:szCs w:val="16"/>
          </w:rPr>
          <w:t>http://cpaquebec.ca/fr/membres-cpa/obligations/permis-de-comptabilite-publique/modeles-de-signature/</w:t>
        </w:r>
      </w:hyperlink>
      <w:r>
        <w:rPr>
          <w:rFonts w:cstheme="minorHAnsi"/>
          <w:color w:val="0000FF"/>
          <w:szCs w:val="16"/>
        </w:rPr>
        <w:t xml:space="preserve"> </w:t>
      </w:r>
    </w:p>
  </w:footnote>
  <w:footnote w:id="10">
    <w:p w14:paraId="0BBF0E20" w14:textId="77777777" w:rsidR="00E82E63" w:rsidRDefault="00E82E63" w:rsidP="00E82E63">
      <w:pPr>
        <w:tabs>
          <w:tab w:val="left" w:pos="180"/>
        </w:tabs>
        <w:rPr>
          <w:rFonts w:cs="Calibri"/>
          <w:color w:val="0000FF"/>
          <w:sz w:val="16"/>
          <w:szCs w:val="16"/>
        </w:rPr>
      </w:pPr>
      <w:r>
        <w:rPr>
          <w:rStyle w:val="Appelnotedebasdep"/>
          <w:rFonts w:cs="Calibri"/>
          <w:color w:val="0000FF"/>
          <w:sz w:val="16"/>
          <w:szCs w:val="16"/>
        </w:rPr>
        <w:footnoteRef/>
      </w:r>
      <w:r>
        <w:rPr>
          <w:rFonts w:cs="Calibri"/>
          <w:color w:val="0000FF"/>
          <w:sz w:val="16"/>
          <w:szCs w:val="16"/>
        </w:rPr>
        <w:tab/>
      </w:r>
      <w:hyperlink r:id="rId9" w:history="1">
        <w:r>
          <w:rPr>
            <w:rStyle w:val="Lienhypertexte"/>
            <w:rFonts w:cs="Calibri"/>
            <w:sz w:val="16"/>
            <w:szCs w:val="16"/>
          </w:rPr>
          <w:t>http://cpaquebec.ca/fr/membres-cpa/obligations/permis-de-comptabilite-publique/modeles-de-signature/</w:t>
        </w:r>
      </w:hyperlink>
      <w:r>
        <w:rPr>
          <w:rFonts w:cs="Calibri"/>
          <w:color w:val="0000FF"/>
          <w:sz w:val="16"/>
          <w:szCs w:val="16"/>
        </w:rPr>
        <w:t xml:space="preserve"> </w:t>
      </w:r>
    </w:p>
  </w:footnote>
  <w:footnote w:id="11">
    <w:p w14:paraId="3B8D8824" w14:textId="77777777" w:rsidR="00E82E63" w:rsidRDefault="00E82E63" w:rsidP="00E82E63">
      <w:pPr>
        <w:tabs>
          <w:tab w:val="left" w:pos="180"/>
        </w:tabs>
        <w:rPr>
          <w:rFonts w:cs="Calibri"/>
          <w:color w:val="0000FF"/>
          <w:sz w:val="16"/>
          <w:szCs w:val="16"/>
        </w:rPr>
      </w:pPr>
      <w:r>
        <w:rPr>
          <w:rStyle w:val="Appelnotedebasdep"/>
          <w:rFonts w:cs="Calibri"/>
          <w:color w:val="0000FF"/>
          <w:sz w:val="16"/>
          <w:szCs w:val="16"/>
        </w:rPr>
        <w:footnoteRef/>
      </w:r>
      <w:r>
        <w:rPr>
          <w:rFonts w:cs="Calibri"/>
          <w:color w:val="0000FF"/>
          <w:sz w:val="16"/>
          <w:szCs w:val="16"/>
        </w:rPr>
        <w:tab/>
      </w:r>
      <w:hyperlink r:id="rId10" w:history="1">
        <w:r>
          <w:rPr>
            <w:rStyle w:val="Lienhypertexte"/>
            <w:rFonts w:cs="Calibri"/>
            <w:sz w:val="16"/>
            <w:szCs w:val="16"/>
          </w:rPr>
          <w:t>http://cpaquebec.ca/fr/membres-cpa/obligations/permis-de-comptabilite-publique/modeles-de-signature/</w:t>
        </w:r>
      </w:hyperlink>
      <w:r>
        <w:rPr>
          <w:rFonts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6DB"/>
    <w:multiLevelType w:val="hybridMultilevel"/>
    <w:tmpl w:val="E59C4E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1B112C"/>
    <w:multiLevelType w:val="hybridMultilevel"/>
    <w:tmpl w:val="E88004BC"/>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 w15:restartNumberingAfterBreak="0">
    <w:nsid w:val="1ED86D8E"/>
    <w:multiLevelType w:val="hybridMultilevel"/>
    <w:tmpl w:val="78A830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190706"/>
    <w:multiLevelType w:val="hybridMultilevel"/>
    <w:tmpl w:val="287A1690"/>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4" w15:restartNumberingAfterBreak="0">
    <w:nsid w:val="3213481D"/>
    <w:multiLevelType w:val="hybridMultilevel"/>
    <w:tmpl w:val="B3A0A04E"/>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BC24422"/>
    <w:multiLevelType w:val="hybridMultilevel"/>
    <w:tmpl w:val="C0BA3F5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DC91783"/>
    <w:multiLevelType w:val="hybridMultilevel"/>
    <w:tmpl w:val="1A84826C"/>
    <w:lvl w:ilvl="0" w:tplc="6AA492C2">
      <w:start w:val="1"/>
      <w:numFmt w:val="bullet"/>
      <w:lvlText w:val=""/>
      <w:lvlJc w:val="left"/>
      <w:pPr>
        <w:ind w:left="720" w:hanging="360"/>
      </w:pPr>
      <w:rPr>
        <w:rFonts w:ascii="Wingdings" w:hAnsi="Wingdings" w:hint="default"/>
        <w:color w:val="0070C0"/>
        <w:u w:color="0070C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6F3A3D"/>
    <w:multiLevelType w:val="hybridMultilevel"/>
    <w:tmpl w:val="88583E0C"/>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41B0540"/>
    <w:multiLevelType w:val="multilevel"/>
    <w:tmpl w:val="446AFA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4F2100"/>
    <w:multiLevelType w:val="hybridMultilevel"/>
    <w:tmpl w:val="8AF8E1C0"/>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B315B83"/>
    <w:multiLevelType w:val="hybridMultilevel"/>
    <w:tmpl w:val="D20490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3A34A84"/>
    <w:multiLevelType w:val="hybridMultilevel"/>
    <w:tmpl w:val="DACA16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9513C51"/>
    <w:multiLevelType w:val="hybridMultilevel"/>
    <w:tmpl w:val="2916B1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01D75F8"/>
    <w:multiLevelType w:val="hybridMultilevel"/>
    <w:tmpl w:val="0742B602"/>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0D759B9"/>
    <w:multiLevelType w:val="hybridMultilevel"/>
    <w:tmpl w:val="B5E4651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10F3B75"/>
    <w:multiLevelType w:val="hybridMultilevel"/>
    <w:tmpl w:val="73EED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291345"/>
    <w:multiLevelType w:val="hybridMultilevel"/>
    <w:tmpl w:val="E24AE0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6E24210"/>
    <w:multiLevelType w:val="hybridMultilevel"/>
    <w:tmpl w:val="20802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B8812C6"/>
    <w:multiLevelType w:val="hybridMultilevel"/>
    <w:tmpl w:val="72386F16"/>
    <w:lvl w:ilvl="0" w:tplc="6AA492C2">
      <w:start w:val="1"/>
      <w:numFmt w:val="bullet"/>
      <w:pStyle w:val="Paragraphedeliste-Carr"/>
      <w:lvlText w:val=""/>
      <w:lvlJc w:val="left"/>
      <w:pPr>
        <w:ind w:left="788" w:hanging="363"/>
      </w:pPr>
      <w:rPr>
        <w:rFonts w:ascii="Wingdings" w:hAnsi="Wingdings" w:hint="default"/>
        <w:color w:val="0070C0"/>
        <w:u w:color="0070C0"/>
      </w:rPr>
    </w:lvl>
    <w:lvl w:ilvl="1" w:tplc="C8FCE1CE">
      <w:start w:val="1"/>
      <w:numFmt w:val="bullet"/>
      <w:lvlText w:val="o"/>
      <w:lvlJc w:val="left"/>
      <w:pPr>
        <w:ind w:left="1418" w:hanging="567"/>
      </w:pPr>
      <w:rPr>
        <w:rFonts w:ascii="Courier New" w:hAnsi="Courier New" w:cs="Times New Roman" w:hint="default"/>
      </w:rPr>
    </w:lvl>
    <w:lvl w:ilvl="2" w:tplc="0C0C0005">
      <w:start w:val="1"/>
      <w:numFmt w:val="bullet"/>
      <w:lvlText w:val=""/>
      <w:lvlJc w:val="left"/>
      <w:pPr>
        <w:ind w:left="3094" w:hanging="360"/>
      </w:pPr>
      <w:rPr>
        <w:rFonts w:ascii="Wingdings" w:hAnsi="Wingdings" w:hint="default"/>
      </w:rPr>
    </w:lvl>
    <w:lvl w:ilvl="3" w:tplc="0C0C0001">
      <w:start w:val="1"/>
      <w:numFmt w:val="bullet"/>
      <w:lvlText w:val=""/>
      <w:lvlJc w:val="left"/>
      <w:pPr>
        <w:ind w:left="3814" w:hanging="360"/>
      </w:pPr>
      <w:rPr>
        <w:rFonts w:ascii="Symbol" w:hAnsi="Symbol" w:hint="default"/>
      </w:rPr>
    </w:lvl>
    <w:lvl w:ilvl="4" w:tplc="0C0C0003">
      <w:start w:val="1"/>
      <w:numFmt w:val="bullet"/>
      <w:lvlText w:val="o"/>
      <w:lvlJc w:val="left"/>
      <w:pPr>
        <w:ind w:left="4534" w:hanging="360"/>
      </w:pPr>
      <w:rPr>
        <w:rFonts w:ascii="Courier New" w:hAnsi="Courier New" w:cs="Courier New" w:hint="default"/>
      </w:rPr>
    </w:lvl>
    <w:lvl w:ilvl="5" w:tplc="0C0C0005">
      <w:start w:val="1"/>
      <w:numFmt w:val="bullet"/>
      <w:lvlText w:val=""/>
      <w:lvlJc w:val="left"/>
      <w:pPr>
        <w:ind w:left="5254" w:hanging="360"/>
      </w:pPr>
      <w:rPr>
        <w:rFonts w:ascii="Wingdings" w:hAnsi="Wingdings" w:hint="default"/>
      </w:rPr>
    </w:lvl>
    <w:lvl w:ilvl="6" w:tplc="0C0C0001">
      <w:start w:val="1"/>
      <w:numFmt w:val="bullet"/>
      <w:lvlText w:val=""/>
      <w:lvlJc w:val="left"/>
      <w:pPr>
        <w:ind w:left="5974" w:hanging="360"/>
      </w:pPr>
      <w:rPr>
        <w:rFonts w:ascii="Symbol" w:hAnsi="Symbol" w:hint="default"/>
      </w:rPr>
    </w:lvl>
    <w:lvl w:ilvl="7" w:tplc="0C0C0003">
      <w:start w:val="1"/>
      <w:numFmt w:val="bullet"/>
      <w:lvlText w:val="o"/>
      <w:lvlJc w:val="left"/>
      <w:pPr>
        <w:ind w:left="6694" w:hanging="360"/>
      </w:pPr>
      <w:rPr>
        <w:rFonts w:ascii="Courier New" w:hAnsi="Courier New" w:cs="Courier New" w:hint="default"/>
      </w:rPr>
    </w:lvl>
    <w:lvl w:ilvl="8" w:tplc="0C0C0005">
      <w:start w:val="1"/>
      <w:numFmt w:val="bullet"/>
      <w:lvlText w:val=""/>
      <w:lvlJc w:val="left"/>
      <w:pPr>
        <w:ind w:left="7414" w:hanging="360"/>
      </w:pPr>
      <w:rPr>
        <w:rFonts w:ascii="Wingdings" w:hAnsi="Wingdings" w:hint="default"/>
      </w:rPr>
    </w:lvl>
  </w:abstractNum>
  <w:abstractNum w:abstractNumId="19" w15:restartNumberingAfterBreak="0">
    <w:nsid w:val="6E657B16"/>
    <w:multiLevelType w:val="hybridMultilevel"/>
    <w:tmpl w:val="A760925A"/>
    <w:lvl w:ilvl="0" w:tplc="0C0C0001">
      <w:start w:val="1"/>
      <w:numFmt w:val="bullet"/>
      <w:lvlText w:val=""/>
      <w:lvlJc w:val="left"/>
      <w:pPr>
        <w:ind w:left="788" w:hanging="363"/>
      </w:pPr>
      <w:rPr>
        <w:rFonts w:ascii="Symbol" w:hAnsi="Symbol" w:hint="default"/>
        <w:color w:val="0070C0"/>
        <w:u w:color="0070C0"/>
      </w:rPr>
    </w:lvl>
    <w:lvl w:ilvl="1" w:tplc="FFFFFFFF">
      <w:start w:val="1"/>
      <w:numFmt w:val="bullet"/>
      <w:lvlText w:val="o"/>
      <w:lvlJc w:val="left"/>
      <w:pPr>
        <w:ind w:left="1418" w:hanging="567"/>
      </w:pPr>
      <w:rPr>
        <w:rFonts w:ascii="Courier New" w:hAnsi="Courier New" w:cs="Times New Roman" w:hint="default"/>
      </w:rPr>
    </w:lvl>
    <w:lvl w:ilvl="2" w:tplc="FFFFFFFF">
      <w:start w:val="1"/>
      <w:numFmt w:val="bullet"/>
      <w:lvlText w:val=""/>
      <w:lvlJc w:val="left"/>
      <w:pPr>
        <w:ind w:left="3094" w:hanging="360"/>
      </w:pPr>
      <w:rPr>
        <w:rFonts w:ascii="Wingdings" w:hAnsi="Wingdings" w:hint="default"/>
      </w:rPr>
    </w:lvl>
    <w:lvl w:ilvl="3" w:tplc="FFFFFFFF">
      <w:start w:val="1"/>
      <w:numFmt w:val="bullet"/>
      <w:lvlText w:val=""/>
      <w:lvlJc w:val="left"/>
      <w:pPr>
        <w:ind w:left="3814" w:hanging="360"/>
      </w:pPr>
      <w:rPr>
        <w:rFonts w:ascii="Symbol" w:hAnsi="Symbol" w:hint="default"/>
      </w:rPr>
    </w:lvl>
    <w:lvl w:ilvl="4" w:tplc="FFFFFFFF">
      <w:start w:val="1"/>
      <w:numFmt w:val="bullet"/>
      <w:lvlText w:val="o"/>
      <w:lvlJc w:val="left"/>
      <w:pPr>
        <w:ind w:left="4534" w:hanging="360"/>
      </w:pPr>
      <w:rPr>
        <w:rFonts w:ascii="Courier New" w:hAnsi="Courier New" w:cs="Courier New" w:hint="default"/>
      </w:rPr>
    </w:lvl>
    <w:lvl w:ilvl="5" w:tplc="FFFFFFFF">
      <w:start w:val="1"/>
      <w:numFmt w:val="bullet"/>
      <w:lvlText w:val=""/>
      <w:lvlJc w:val="left"/>
      <w:pPr>
        <w:ind w:left="5254" w:hanging="360"/>
      </w:pPr>
      <w:rPr>
        <w:rFonts w:ascii="Wingdings" w:hAnsi="Wingdings" w:hint="default"/>
      </w:rPr>
    </w:lvl>
    <w:lvl w:ilvl="6" w:tplc="FFFFFFFF">
      <w:start w:val="1"/>
      <w:numFmt w:val="bullet"/>
      <w:lvlText w:val=""/>
      <w:lvlJc w:val="left"/>
      <w:pPr>
        <w:ind w:left="5974" w:hanging="360"/>
      </w:pPr>
      <w:rPr>
        <w:rFonts w:ascii="Symbol" w:hAnsi="Symbol" w:hint="default"/>
      </w:rPr>
    </w:lvl>
    <w:lvl w:ilvl="7" w:tplc="FFFFFFFF">
      <w:start w:val="1"/>
      <w:numFmt w:val="bullet"/>
      <w:lvlText w:val="o"/>
      <w:lvlJc w:val="left"/>
      <w:pPr>
        <w:ind w:left="6694" w:hanging="360"/>
      </w:pPr>
      <w:rPr>
        <w:rFonts w:ascii="Courier New" w:hAnsi="Courier New" w:cs="Courier New" w:hint="default"/>
      </w:rPr>
    </w:lvl>
    <w:lvl w:ilvl="8" w:tplc="FFFFFFFF">
      <w:start w:val="1"/>
      <w:numFmt w:val="bullet"/>
      <w:lvlText w:val=""/>
      <w:lvlJc w:val="left"/>
      <w:pPr>
        <w:ind w:left="7414" w:hanging="360"/>
      </w:pPr>
      <w:rPr>
        <w:rFonts w:ascii="Wingdings" w:hAnsi="Wingdings" w:hint="default"/>
      </w:rPr>
    </w:lvl>
  </w:abstractNum>
  <w:abstractNum w:abstractNumId="20" w15:restartNumberingAfterBreak="0">
    <w:nsid w:val="7C0E7424"/>
    <w:multiLevelType w:val="hybridMultilevel"/>
    <w:tmpl w:val="9E1635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5121421">
    <w:abstractNumId w:val="18"/>
  </w:num>
  <w:num w:numId="2" w16cid:durableId="629434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745109">
    <w:abstractNumId w:val="18"/>
  </w:num>
  <w:num w:numId="4" w16cid:durableId="1737629927">
    <w:abstractNumId w:val="1"/>
  </w:num>
  <w:num w:numId="5" w16cid:durableId="1659191833">
    <w:abstractNumId w:val="18"/>
  </w:num>
  <w:num w:numId="6" w16cid:durableId="1165438664">
    <w:abstractNumId w:val="4"/>
  </w:num>
  <w:num w:numId="7" w16cid:durableId="277681825">
    <w:abstractNumId w:val="5"/>
  </w:num>
  <w:num w:numId="8" w16cid:durableId="46875487">
    <w:abstractNumId w:val="7"/>
  </w:num>
  <w:num w:numId="9" w16cid:durableId="139733464">
    <w:abstractNumId w:val="13"/>
  </w:num>
  <w:num w:numId="10" w16cid:durableId="1513254715">
    <w:abstractNumId w:val="20"/>
  </w:num>
  <w:num w:numId="11" w16cid:durableId="249778396">
    <w:abstractNumId w:val="10"/>
  </w:num>
  <w:num w:numId="12" w16cid:durableId="903177661">
    <w:abstractNumId w:val="9"/>
  </w:num>
  <w:num w:numId="13" w16cid:durableId="1009405543">
    <w:abstractNumId w:val="6"/>
  </w:num>
  <w:num w:numId="14" w16cid:durableId="797987082">
    <w:abstractNumId w:val="8"/>
  </w:num>
  <w:num w:numId="15" w16cid:durableId="121271533">
    <w:abstractNumId w:val="17"/>
  </w:num>
  <w:num w:numId="16" w16cid:durableId="1360161974">
    <w:abstractNumId w:val="15"/>
  </w:num>
  <w:num w:numId="17" w16cid:durableId="1573153747">
    <w:abstractNumId w:val="19"/>
  </w:num>
  <w:num w:numId="18" w16cid:durableId="746851876">
    <w:abstractNumId w:val="3"/>
  </w:num>
  <w:num w:numId="19" w16cid:durableId="305860172">
    <w:abstractNumId w:val="2"/>
  </w:num>
  <w:num w:numId="20" w16cid:durableId="1933930418">
    <w:abstractNumId w:val="12"/>
  </w:num>
  <w:num w:numId="21" w16cid:durableId="1705247934">
    <w:abstractNumId w:val="0"/>
  </w:num>
  <w:num w:numId="22" w16cid:durableId="629166284">
    <w:abstractNumId w:val="16"/>
  </w:num>
  <w:num w:numId="23" w16cid:durableId="679503554">
    <w:abstractNumId w:val="14"/>
  </w:num>
  <w:num w:numId="24" w16cid:durableId="1709140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63"/>
    <w:rsid w:val="000020A8"/>
    <w:rsid w:val="00011272"/>
    <w:rsid w:val="0001412E"/>
    <w:rsid w:val="000172E7"/>
    <w:rsid w:val="00021577"/>
    <w:rsid w:val="0002414B"/>
    <w:rsid w:val="00026A18"/>
    <w:rsid w:val="000301DF"/>
    <w:rsid w:val="00032A4A"/>
    <w:rsid w:val="0004000F"/>
    <w:rsid w:val="00042CB9"/>
    <w:rsid w:val="00043999"/>
    <w:rsid w:val="000461DB"/>
    <w:rsid w:val="00047D67"/>
    <w:rsid w:val="000504B2"/>
    <w:rsid w:val="000526F8"/>
    <w:rsid w:val="00054368"/>
    <w:rsid w:val="00055031"/>
    <w:rsid w:val="00055CA9"/>
    <w:rsid w:val="000606E2"/>
    <w:rsid w:val="0006162F"/>
    <w:rsid w:val="00064018"/>
    <w:rsid w:val="000646FD"/>
    <w:rsid w:val="00065470"/>
    <w:rsid w:val="00065A39"/>
    <w:rsid w:val="00065CAC"/>
    <w:rsid w:val="00071ED4"/>
    <w:rsid w:val="00075947"/>
    <w:rsid w:val="00080583"/>
    <w:rsid w:val="00080EDD"/>
    <w:rsid w:val="00083297"/>
    <w:rsid w:val="00084363"/>
    <w:rsid w:val="00084894"/>
    <w:rsid w:val="0009153C"/>
    <w:rsid w:val="00093045"/>
    <w:rsid w:val="00093484"/>
    <w:rsid w:val="00096005"/>
    <w:rsid w:val="000962DB"/>
    <w:rsid w:val="000976D2"/>
    <w:rsid w:val="000A0EE6"/>
    <w:rsid w:val="000A3339"/>
    <w:rsid w:val="000A6758"/>
    <w:rsid w:val="000B432D"/>
    <w:rsid w:val="000B52A0"/>
    <w:rsid w:val="000B5C34"/>
    <w:rsid w:val="000B65A2"/>
    <w:rsid w:val="000B675A"/>
    <w:rsid w:val="000C04F3"/>
    <w:rsid w:val="000C0A1F"/>
    <w:rsid w:val="000C4BA1"/>
    <w:rsid w:val="000C6D51"/>
    <w:rsid w:val="000D0FDE"/>
    <w:rsid w:val="000D1E74"/>
    <w:rsid w:val="000D41F9"/>
    <w:rsid w:val="000D5CD5"/>
    <w:rsid w:val="000D6215"/>
    <w:rsid w:val="000D6F0F"/>
    <w:rsid w:val="000D7ECE"/>
    <w:rsid w:val="000E03E9"/>
    <w:rsid w:val="000E0DB9"/>
    <w:rsid w:val="000E108E"/>
    <w:rsid w:val="000E5C40"/>
    <w:rsid w:val="000E748D"/>
    <w:rsid w:val="000F02B5"/>
    <w:rsid w:val="000F3267"/>
    <w:rsid w:val="000F694E"/>
    <w:rsid w:val="00101C91"/>
    <w:rsid w:val="00101E85"/>
    <w:rsid w:val="001061BA"/>
    <w:rsid w:val="0011031D"/>
    <w:rsid w:val="001103AA"/>
    <w:rsid w:val="00110B14"/>
    <w:rsid w:val="001142A3"/>
    <w:rsid w:val="00115CFD"/>
    <w:rsid w:val="00116643"/>
    <w:rsid w:val="00116DB2"/>
    <w:rsid w:val="00120178"/>
    <w:rsid w:val="001203AC"/>
    <w:rsid w:val="00123F50"/>
    <w:rsid w:val="0012481A"/>
    <w:rsid w:val="00127D5E"/>
    <w:rsid w:val="00130451"/>
    <w:rsid w:val="001328F5"/>
    <w:rsid w:val="00133F56"/>
    <w:rsid w:val="0014125E"/>
    <w:rsid w:val="00145419"/>
    <w:rsid w:val="0014643D"/>
    <w:rsid w:val="0015251C"/>
    <w:rsid w:val="00152C05"/>
    <w:rsid w:val="00153724"/>
    <w:rsid w:val="001545AA"/>
    <w:rsid w:val="00155A0E"/>
    <w:rsid w:val="0015779E"/>
    <w:rsid w:val="00160306"/>
    <w:rsid w:val="001607FE"/>
    <w:rsid w:val="001640D6"/>
    <w:rsid w:val="0016472B"/>
    <w:rsid w:val="00166006"/>
    <w:rsid w:val="00166D0C"/>
    <w:rsid w:val="00167E3E"/>
    <w:rsid w:val="00170875"/>
    <w:rsid w:val="00174D01"/>
    <w:rsid w:val="00175FD4"/>
    <w:rsid w:val="00177234"/>
    <w:rsid w:val="00177861"/>
    <w:rsid w:val="00183056"/>
    <w:rsid w:val="0018443F"/>
    <w:rsid w:val="00185179"/>
    <w:rsid w:val="00187EE8"/>
    <w:rsid w:val="00190A99"/>
    <w:rsid w:val="00190D5A"/>
    <w:rsid w:val="0019246E"/>
    <w:rsid w:val="001939F6"/>
    <w:rsid w:val="00194254"/>
    <w:rsid w:val="00196DA5"/>
    <w:rsid w:val="00197A4A"/>
    <w:rsid w:val="001A1EBB"/>
    <w:rsid w:val="001A5113"/>
    <w:rsid w:val="001A654E"/>
    <w:rsid w:val="001A6615"/>
    <w:rsid w:val="001A79DC"/>
    <w:rsid w:val="001B1338"/>
    <w:rsid w:val="001B26E4"/>
    <w:rsid w:val="001B6788"/>
    <w:rsid w:val="001B6C92"/>
    <w:rsid w:val="001C1146"/>
    <w:rsid w:val="001C3C02"/>
    <w:rsid w:val="001C7225"/>
    <w:rsid w:val="001D0794"/>
    <w:rsid w:val="001D337D"/>
    <w:rsid w:val="001D7DEE"/>
    <w:rsid w:val="001E05B5"/>
    <w:rsid w:val="001E0969"/>
    <w:rsid w:val="001E64FA"/>
    <w:rsid w:val="001E7C1F"/>
    <w:rsid w:val="001F1F4B"/>
    <w:rsid w:val="001F6314"/>
    <w:rsid w:val="00200A2D"/>
    <w:rsid w:val="002022AD"/>
    <w:rsid w:val="002066D3"/>
    <w:rsid w:val="00206B8A"/>
    <w:rsid w:val="00210898"/>
    <w:rsid w:val="0021102B"/>
    <w:rsid w:val="00211A70"/>
    <w:rsid w:val="0021259F"/>
    <w:rsid w:val="00212F07"/>
    <w:rsid w:val="002164B0"/>
    <w:rsid w:val="00216C61"/>
    <w:rsid w:val="00216F83"/>
    <w:rsid w:val="00224AF4"/>
    <w:rsid w:val="002263FE"/>
    <w:rsid w:val="0023134C"/>
    <w:rsid w:val="00232E94"/>
    <w:rsid w:val="00233E5E"/>
    <w:rsid w:val="002360DA"/>
    <w:rsid w:val="00241E43"/>
    <w:rsid w:val="00243182"/>
    <w:rsid w:val="00244DDA"/>
    <w:rsid w:val="00245B03"/>
    <w:rsid w:val="00251416"/>
    <w:rsid w:val="002514A2"/>
    <w:rsid w:val="00252CE1"/>
    <w:rsid w:val="002545E0"/>
    <w:rsid w:val="002568DF"/>
    <w:rsid w:val="00260280"/>
    <w:rsid w:val="0026213D"/>
    <w:rsid w:val="0026498D"/>
    <w:rsid w:val="00265E21"/>
    <w:rsid w:val="00267606"/>
    <w:rsid w:val="002678A1"/>
    <w:rsid w:val="00271FE5"/>
    <w:rsid w:val="002738E7"/>
    <w:rsid w:val="00277216"/>
    <w:rsid w:val="00277231"/>
    <w:rsid w:val="00277300"/>
    <w:rsid w:val="00277A90"/>
    <w:rsid w:val="00277BF7"/>
    <w:rsid w:val="00282348"/>
    <w:rsid w:val="00282BCF"/>
    <w:rsid w:val="00282D9F"/>
    <w:rsid w:val="00283992"/>
    <w:rsid w:val="002866FF"/>
    <w:rsid w:val="002912F3"/>
    <w:rsid w:val="00291D29"/>
    <w:rsid w:val="002922D3"/>
    <w:rsid w:val="00293DA5"/>
    <w:rsid w:val="00296434"/>
    <w:rsid w:val="00297319"/>
    <w:rsid w:val="002A24CB"/>
    <w:rsid w:val="002A73DC"/>
    <w:rsid w:val="002A77B2"/>
    <w:rsid w:val="002B1AA9"/>
    <w:rsid w:val="002B23F3"/>
    <w:rsid w:val="002B4E46"/>
    <w:rsid w:val="002B6885"/>
    <w:rsid w:val="002B7452"/>
    <w:rsid w:val="002C2B6D"/>
    <w:rsid w:val="002C46DF"/>
    <w:rsid w:val="002D099A"/>
    <w:rsid w:val="002D1BA3"/>
    <w:rsid w:val="002D2DCD"/>
    <w:rsid w:val="002D7960"/>
    <w:rsid w:val="002E24CC"/>
    <w:rsid w:val="002F02D7"/>
    <w:rsid w:val="002F0FC1"/>
    <w:rsid w:val="002F1420"/>
    <w:rsid w:val="002F1B3B"/>
    <w:rsid w:val="002F2AEE"/>
    <w:rsid w:val="002F658C"/>
    <w:rsid w:val="002F6669"/>
    <w:rsid w:val="00302297"/>
    <w:rsid w:val="0030284C"/>
    <w:rsid w:val="00307017"/>
    <w:rsid w:val="00311BE9"/>
    <w:rsid w:val="00311C8C"/>
    <w:rsid w:val="00313D85"/>
    <w:rsid w:val="00314497"/>
    <w:rsid w:val="003206BD"/>
    <w:rsid w:val="0032284A"/>
    <w:rsid w:val="003266E6"/>
    <w:rsid w:val="003300D9"/>
    <w:rsid w:val="00333FE9"/>
    <w:rsid w:val="00335C8E"/>
    <w:rsid w:val="00340071"/>
    <w:rsid w:val="0034022E"/>
    <w:rsid w:val="00342E35"/>
    <w:rsid w:val="00343D6B"/>
    <w:rsid w:val="003473B2"/>
    <w:rsid w:val="00350BE1"/>
    <w:rsid w:val="00351B00"/>
    <w:rsid w:val="00352928"/>
    <w:rsid w:val="0035572A"/>
    <w:rsid w:val="00355965"/>
    <w:rsid w:val="00355CC7"/>
    <w:rsid w:val="00363AAD"/>
    <w:rsid w:val="00364099"/>
    <w:rsid w:val="00370F0D"/>
    <w:rsid w:val="00371FA7"/>
    <w:rsid w:val="00374401"/>
    <w:rsid w:val="00375173"/>
    <w:rsid w:val="00377DC7"/>
    <w:rsid w:val="00380CB1"/>
    <w:rsid w:val="003818D0"/>
    <w:rsid w:val="0038468D"/>
    <w:rsid w:val="00391C75"/>
    <w:rsid w:val="00391C84"/>
    <w:rsid w:val="00392184"/>
    <w:rsid w:val="00394A4A"/>
    <w:rsid w:val="003976E9"/>
    <w:rsid w:val="003A185D"/>
    <w:rsid w:val="003B0D1E"/>
    <w:rsid w:val="003B1F37"/>
    <w:rsid w:val="003B376D"/>
    <w:rsid w:val="003B5654"/>
    <w:rsid w:val="003B56A7"/>
    <w:rsid w:val="003B62D6"/>
    <w:rsid w:val="003B7172"/>
    <w:rsid w:val="003B7854"/>
    <w:rsid w:val="003B7DEB"/>
    <w:rsid w:val="003C028A"/>
    <w:rsid w:val="003C1A1A"/>
    <w:rsid w:val="003C3155"/>
    <w:rsid w:val="003C3271"/>
    <w:rsid w:val="003C3D53"/>
    <w:rsid w:val="003C3E28"/>
    <w:rsid w:val="003C5719"/>
    <w:rsid w:val="003C5C9A"/>
    <w:rsid w:val="003C68BB"/>
    <w:rsid w:val="003C7A60"/>
    <w:rsid w:val="003D70A1"/>
    <w:rsid w:val="003D7C7D"/>
    <w:rsid w:val="003E7322"/>
    <w:rsid w:val="003F0A97"/>
    <w:rsid w:val="003F0CC4"/>
    <w:rsid w:val="003F1061"/>
    <w:rsid w:val="003F253B"/>
    <w:rsid w:val="003F466B"/>
    <w:rsid w:val="003F5F54"/>
    <w:rsid w:val="004016C2"/>
    <w:rsid w:val="004107E3"/>
    <w:rsid w:val="00410E8F"/>
    <w:rsid w:val="00411E16"/>
    <w:rsid w:val="00412D8B"/>
    <w:rsid w:val="00413FD0"/>
    <w:rsid w:val="00415F5C"/>
    <w:rsid w:val="004202B9"/>
    <w:rsid w:val="0042348A"/>
    <w:rsid w:val="00426BC6"/>
    <w:rsid w:val="004279A6"/>
    <w:rsid w:val="004328A6"/>
    <w:rsid w:val="00432DF9"/>
    <w:rsid w:val="00433BF0"/>
    <w:rsid w:val="00433E5E"/>
    <w:rsid w:val="00435891"/>
    <w:rsid w:val="00435B74"/>
    <w:rsid w:val="00436112"/>
    <w:rsid w:val="00436795"/>
    <w:rsid w:val="004403EA"/>
    <w:rsid w:val="00443DC1"/>
    <w:rsid w:val="00447E39"/>
    <w:rsid w:val="004532FB"/>
    <w:rsid w:val="0045377A"/>
    <w:rsid w:val="00453CF0"/>
    <w:rsid w:val="00460AA9"/>
    <w:rsid w:val="004617A5"/>
    <w:rsid w:val="00465280"/>
    <w:rsid w:val="00465DC1"/>
    <w:rsid w:val="00466410"/>
    <w:rsid w:val="0047223D"/>
    <w:rsid w:val="004743DF"/>
    <w:rsid w:val="0048006D"/>
    <w:rsid w:val="00481ACE"/>
    <w:rsid w:val="004848B2"/>
    <w:rsid w:val="004867FD"/>
    <w:rsid w:val="00495E2E"/>
    <w:rsid w:val="004960AE"/>
    <w:rsid w:val="004A0A3B"/>
    <w:rsid w:val="004A0CB5"/>
    <w:rsid w:val="004A1338"/>
    <w:rsid w:val="004A1E55"/>
    <w:rsid w:val="004A23D8"/>
    <w:rsid w:val="004A36AA"/>
    <w:rsid w:val="004A6627"/>
    <w:rsid w:val="004B1E13"/>
    <w:rsid w:val="004B25E1"/>
    <w:rsid w:val="004C001F"/>
    <w:rsid w:val="004C0171"/>
    <w:rsid w:val="004C0AD0"/>
    <w:rsid w:val="004C372F"/>
    <w:rsid w:val="004C4036"/>
    <w:rsid w:val="004C6E29"/>
    <w:rsid w:val="004D3036"/>
    <w:rsid w:val="004D70C8"/>
    <w:rsid w:val="004D7253"/>
    <w:rsid w:val="004E0F49"/>
    <w:rsid w:val="004E1BCE"/>
    <w:rsid w:val="004E1C4C"/>
    <w:rsid w:val="004E3490"/>
    <w:rsid w:val="004E5F39"/>
    <w:rsid w:val="004E7165"/>
    <w:rsid w:val="004E78E7"/>
    <w:rsid w:val="004F05A5"/>
    <w:rsid w:val="004F2799"/>
    <w:rsid w:val="004F2B8A"/>
    <w:rsid w:val="004F2CCE"/>
    <w:rsid w:val="004F455C"/>
    <w:rsid w:val="004F7576"/>
    <w:rsid w:val="004F781D"/>
    <w:rsid w:val="00500D50"/>
    <w:rsid w:val="005020E6"/>
    <w:rsid w:val="00502DEF"/>
    <w:rsid w:val="00511062"/>
    <w:rsid w:val="00512641"/>
    <w:rsid w:val="00514C40"/>
    <w:rsid w:val="00515FE8"/>
    <w:rsid w:val="00516F3D"/>
    <w:rsid w:val="0052466F"/>
    <w:rsid w:val="00525535"/>
    <w:rsid w:val="00526A56"/>
    <w:rsid w:val="00526D2F"/>
    <w:rsid w:val="00527290"/>
    <w:rsid w:val="005274DE"/>
    <w:rsid w:val="00530BA3"/>
    <w:rsid w:val="00530D83"/>
    <w:rsid w:val="00533156"/>
    <w:rsid w:val="00533528"/>
    <w:rsid w:val="00533FF0"/>
    <w:rsid w:val="005358F7"/>
    <w:rsid w:val="00540173"/>
    <w:rsid w:val="00540509"/>
    <w:rsid w:val="0054548F"/>
    <w:rsid w:val="005565A5"/>
    <w:rsid w:val="0055669C"/>
    <w:rsid w:val="00557B11"/>
    <w:rsid w:val="00561F5E"/>
    <w:rsid w:val="005623F0"/>
    <w:rsid w:val="0056664B"/>
    <w:rsid w:val="00566706"/>
    <w:rsid w:val="0057001D"/>
    <w:rsid w:val="00571757"/>
    <w:rsid w:val="00573352"/>
    <w:rsid w:val="0057473E"/>
    <w:rsid w:val="005763DE"/>
    <w:rsid w:val="00576C29"/>
    <w:rsid w:val="00580359"/>
    <w:rsid w:val="005805F3"/>
    <w:rsid w:val="005825FD"/>
    <w:rsid w:val="0058300A"/>
    <w:rsid w:val="00583265"/>
    <w:rsid w:val="00586160"/>
    <w:rsid w:val="00586E68"/>
    <w:rsid w:val="00587BA2"/>
    <w:rsid w:val="00593052"/>
    <w:rsid w:val="00595747"/>
    <w:rsid w:val="005974B6"/>
    <w:rsid w:val="005974BE"/>
    <w:rsid w:val="005979D0"/>
    <w:rsid w:val="005A5CE3"/>
    <w:rsid w:val="005B5C02"/>
    <w:rsid w:val="005B747C"/>
    <w:rsid w:val="005B7807"/>
    <w:rsid w:val="005C1C0E"/>
    <w:rsid w:val="005C6C17"/>
    <w:rsid w:val="005C767B"/>
    <w:rsid w:val="005D0C62"/>
    <w:rsid w:val="005D4A68"/>
    <w:rsid w:val="005D60F4"/>
    <w:rsid w:val="005D6D0D"/>
    <w:rsid w:val="005E214C"/>
    <w:rsid w:val="005E28BE"/>
    <w:rsid w:val="005E2AA8"/>
    <w:rsid w:val="005E61D5"/>
    <w:rsid w:val="005E7A5C"/>
    <w:rsid w:val="005F1488"/>
    <w:rsid w:val="005F19D6"/>
    <w:rsid w:val="005F3755"/>
    <w:rsid w:val="005F3776"/>
    <w:rsid w:val="005F4198"/>
    <w:rsid w:val="005F5D32"/>
    <w:rsid w:val="005F77E9"/>
    <w:rsid w:val="00602072"/>
    <w:rsid w:val="0060603D"/>
    <w:rsid w:val="00606674"/>
    <w:rsid w:val="006075E2"/>
    <w:rsid w:val="006112D3"/>
    <w:rsid w:val="00611EFE"/>
    <w:rsid w:val="006122AD"/>
    <w:rsid w:val="00616A05"/>
    <w:rsid w:val="00617E35"/>
    <w:rsid w:val="00622338"/>
    <w:rsid w:val="006229F8"/>
    <w:rsid w:val="00626952"/>
    <w:rsid w:val="00631187"/>
    <w:rsid w:val="006322A1"/>
    <w:rsid w:val="00637AFC"/>
    <w:rsid w:val="00640586"/>
    <w:rsid w:val="006410C9"/>
    <w:rsid w:val="0064244C"/>
    <w:rsid w:val="006425BD"/>
    <w:rsid w:val="00644F72"/>
    <w:rsid w:val="00647AB2"/>
    <w:rsid w:val="00650EE3"/>
    <w:rsid w:val="00652F17"/>
    <w:rsid w:val="006537C9"/>
    <w:rsid w:val="00653816"/>
    <w:rsid w:val="0065506B"/>
    <w:rsid w:val="0066073B"/>
    <w:rsid w:val="00660BE6"/>
    <w:rsid w:val="006611EF"/>
    <w:rsid w:val="00664502"/>
    <w:rsid w:val="006651BC"/>
    <w:rsid w:val="0067186D"/>
    <w:rsid w:val="00674980"/>
    <w:rsid w:val="0067602C"/>
    <w:rsid w:val="006762D5"/>
    <w:rsid w:val="0068183E"/>
    <w:rsid w:val="00683027"/>
    <w:rsid w:val="0068559D"/>
    <w:rsid w:val="00691CBF"/>
    <w:rsid w:val="00691DE7"/>
    <w:rsid w:val="00692262"/>
    <w:rsid w:val="0069577D"/>
    <w:rsid w:val="006967D2"/>
    <w:rsid w:val="006A4132"/>
    <w:rsid w:val="006A5572"/>
    <w:rsid w:val="006A7737"/>
    <w:rsid w:val="006A7E23"/>
    <w:rsid w:val="006B36E4"/>
    <w:rsid w:val="006B7FCE"/>
    <w:rsid w:val="006C0A99"/>
    <w:rsid w:val="006C1172"/>
    <w:rsid w:val="006C14DE"/>
    <w:rsid w:val="006C1EC2"/>
    <w:rsid w:val="006C262E"/>
    <w:rsid w:val="006C3BD6"/>
    <w:rsid w:val="006C491E"/>
    <w:rsid w:val="006C733B"/>
    <w:rsid w:val="006D46B8"/>
    <w:rsid w:val="006D7DFA"/>
    <w:rsid w:val="006E1012"/>
    <w:rsid w:val="006E1C7F"/>
    <w:rsid w:val="006E3812"/>
    <w:rsid w:val="006E4D0D"/>
    <w:rsid w:val="006E736F"/>
    <w:rsid w:val="006F1205"/>
    <w:rsid w:val="006F22FB"/>
    <w:rsid w:val="006F308A"/>
    <w:rsid w:val="006F46D5"/>
    <w:rsid w:val="006F7C51"/>
    <w:rsid w:val="0070160B"/>
    <w:rsid w:val="00701A10"/>
    <w:rsid w:val="007034D3"/>
    <w:rsid w:val="0070717C"/>
    <w:rsid w:val="00707705"/>
    <w:rsid w:val="00707867"/>
    <w:rsid w:val="007079CB"/>
    <w:rsid w:val="00711A83"/>
    <w:rsid w:val="00713E5B"/>
    <w:rsid w:val="00715D01"/>
    <w:rsid w:val="00717ACC"/>
    <w:rsid w:val="00717F67"/>
    <w:rsid w:val="0072009A"/>
    <w:rsid w:val="00720298"/>
    <w:rsid w:val="00721DD8"/>
    <w:rsid w:val="00722BB1"/>
    <w:rsid w:val="00722EFD"/>
    <w:rsid w:val="00723CD2"/>
    <w:rsid w:val="00726584"/>
    <w:rsid w:val="007266BD"/>
    <w:rsid w:val="0072705F"/>
    <w:rsid w:val="00730A2D"/>
    <w:rsid w:val="00731805"/>
    <w:rsid w:val="00740BE5"/>
    <w:rsid w:val="007419E5"/>
    <w:rsid w:val="00741F83"/>
    <w:rsid w:val="00747AC5"/>
    <w:rsid w:val="007568DF"/>
    <w:rsid w:val="007610B7"/>
    <w:rsid w:val="00762D0E"/>
    <w:rsid w:val="0076315D"/>
    <w:rsid w:val="007668B3"/>
    <w:rsid w:val="00770EA2"/>
    <w:rsid w:val="00771978"/>
    <w:rsid w:val="007734E4"/>
    <w:rsid w:val="00776C5C"/>
    <w:rsid w:val="00777B60"/>
    <w:rsid w:val="0078118F"/>
    <w:rsid w:val="007814F4"/>
    <w:rsid w:val="00784105"/>
    <w:rsid w:val="00784DBA"/>
    <w:rsid w:val="007861A1"/>
    <w:rsid w:val="00786CB7"/>
    <w:rsid w:val="0079165C"/>
    <w:rsid w:val="00792D12"/>
    <w:rsid w:val="0079308C"/>
    <w:rsid w:val="00793AC5"/>
    <w:rsid w:val="0079452D"/>
    <w:rsid w:val="00797008"/>
    <w:rsid w:val="007A44E4"/>
    <w:rsid w:val="007A6154"/>
    <w:rsid w:val="007B0B4E"/>
    <w:rsid w:val="007B21BD"/>
    <w:rsid w:val="007B30D5"/>
    <w:rsid w:val="007B39A9"/>
    <w:rsid w:val="007B4569"/>
    <w:rsid w:val="007B4E16"/>
    <w:rsid w:val="007B5A47"/>
    <w:rsid w:val="007C0ECD"/>
    <w:rsid w:val="007C6F7A"/>
    <w:rsid w:val="007C6FF7"/>
    <w:rsid w:val="007C7D9C"/>
    <w:rsid w:val="007D05B0"/>
    <w:rsid w:val="007D2C60"/>
    <w:rsid w:val="007D591C"/>
    <w:rsid w:val="007D73CD"/>
    <w:rsid w:val="007E65E0"/>
    <w:rsid w:val="007E66F4"/>
    <w:rsid w:val="007E6882"/>
    <w:rsid w:val="007E720C"/>
    <w:rsid w:val="007F16F0"/>
    <w:rsid w:val="007F1ECA"/>
    <w:rsid w:val="007F323C"/>
    <w:rsid w:val="007F544C"/>
    <w:rsid w:val="00801B1A"/>
    <w:rsid w:val="00802F7C"/>
    <w:rsid w:val="008063B0"/>
    <w:rsid w:val="00806B20"/>
    <w:rsid w:val="00807E06"/>
    <w:rsid w:val="00811A97"/>
    <w:rsid w:val="00811B38"/>
    <w:rsid w:val="00812641"/>
    <w:rsid w:val="00812F04"/>
    <w:rsid w:val="00813C40"/>
    <w:rsid w:val="00817271"/>
    <w:rsid w:val="00820B7C"/>
    <w:rsid w:val="008220E4"/>
    <w:rsid w:val="008240DC"/>
    <w:rsid w:val="00825FD1"/>
    <w:rsid w:val="00826A0D"/>
    <w:rsid w:val="00826F64"/>
    <w:rsid w:val="00827D73"/>
    <w:rsid w:val="008301D9"/>
    <w:rsid w:val="00830451"/>
    <w:rsid w:val="008325BB"/>
    <w:rsid w:val="00836143"/>
    <w:rsid w:val="008365B8"/>
    <w:rsid w:val="008416BE"/>
    <w:rsid w:val="008504FD"/>
    <w:rsid w:val="00851A1A"/>
    <w:rsid w:val="00853AF8"/>
    <w:rsid w:val="00853C6E"/>
    <w:rsid w:val="00854B3A"/>
    <w:rsid w:val="008605CE"/>
    <w:rsid w:val="0086147B"/>
    <w:rsid w:val="00861D42"/>
    <w:rsid w:val="00867D2B"/>
    <w:rsid w:val="00871275"/>
    <w:rsid w:val="0087320C"/>
    <w:rsid w:val="008822CE"/>
    <w:rsid w:val="00885B18"/>
    <w:rsid w:val="00886351"/>
    <w:rsid w:val="008864CA"/>
    <w:rsid w:val="00886F82"/>
    <w:rsid w:val="008912BF"/>
    <w:rsid w:val="008927BF"/>
    <w:rsid w:val="00892C67"/>
    <w:rsid w:val="008949CF"/>
    <w:rsid w:val="00896C6A"/>
    <w:rsid w:val="00897307"/>
    <w:rsid w:val="00897E7D"/>
    <w:rsid w:val="00897F1C"/>
    <w:rsid w:val="008A1BFF"/>
    <w:rsid w:val="008A1C76"/>
    <w:rsid w:val="008A781A"/>
    <w:rsid w:val="008A7F4D"/>
    <w:rsid w:val="008B1E7E"/>
    <w:rsid w:val="008B3F1D"/>
    <w:rsid w:val="008B6036"/>
    <w:rsid w:val="008B720A"/>
    <w:rsid w:val="008B7DEF"/>
    <w:rsid w:val="008C14A6"/>
    <w:rsid w:val="008C4937"/>
    <w:rsid w:val="008C6360"/>
    <w:rsid w:val="008C6F8F"/>
    <w:rsid w:val="008C6FBC"/>
    <w:rsid w:val="008D3F91"/>
    <w:rsid w:val="008D5439"/>
    <w:rsid w:val="008D54F3"/>
    <w:rsid w:val="008D631C"/>
    <w:rsid w:val="008D7C26"/>
    <w:rsid w:val="008E37DE"/>
    <w:rsid w:val="008E3E60"/>
    <w:rsid w:val="008F07E0"/>
    <w:rsid w:val="008F0867"/>
    <w:rsid w:val="008F09D4"/>
    <w:rsid w:val="008F4334"/>
    <w:rsid w:val="008F5C78"/>
    <w:rsid w:val="00902DFF"/>
    <w:rsid w:val="00903D98"/>
    <w:rsid w:val="00907596"/>
    <w:rsid w:val="009178F8"/>
    <w:rsid w:val="00917B13"/>
    <w:rsid w:val="00917DBE"/>
    <w:rsid w:val="00921732"/>
    <w:rsid w:val="00926040"/>
    <w:rsid w:val="00926933"/>
    <w:rsid w:val="00927907"/>
    <w:rsid w:val="00932A96"/>
    <w:rsid w:val="009358F8"/>
    <w:rsid w:val="00940D62"/>
    <w:rsid w:val="00941759"/>
    <w:rsid w:val="009421CA"/>
    <w:rsid w:val="00951C75"/>
    <w:rsid w:val="00951E13"/>
    <w:rsid w:val="0095409D"/>
    <w:rsid w:val="009577E9"/>
    <w:rsid w:val="009579FA"/>
    <w:rsid w:val="00960282"/>
    <w:rsid w:val="00961236"/>
    <w:rsid w:val="00964887"/>
    <w:rsid w:val="00966A1D"/>
    <w:rsid w:val="00966D0A"/>
    <w:rsid w:val="00967669"/>
    <w:rsid w:val="00971175"/>
    <w:rsid w:val="00971993"/>
    <w:rsid w:val="0097377E"/>
    <w:rsid w:val="00975FAD"/>
    <w:rsid w:val="00977203"/>
    <w:rsid w:val="00981015"/>
    <w:rsid w:val="00981643"/>
    <w:rsid w:val="009823EE"/>
    <w:rsid w:val="00982CE3"/>
    <w:rsid w:val="009846D8"/>
    <w:rsid w:val="00984F24"/>
    <w:rsid w:val="0098679D"/>
    <w:rsid w:val="00993DB3"/>
    <w:rsid w:val="0099520E"/>
    <w:rsid w:val="00995421"/>
    <w:rsid w:val="009A1DE7"/>
    <w:rsid w:val="009A380F"/>
    <w:rsid w:val="009A5904"/>
    <w:rsid w:val="009A6756"/>
    <w:rsid w:val="009B0515"/>
    <w:rsid w:val="009B2E1A"/>
    <w:rsid w:val="009B6175"/>
    <w:rsid w:val="009C0EBD"/>
    <w:rsid w:val="009C3AC3"/>
    <w:rsid w:val="009C4A76"/>
    <w:rsid w:val="009C51BE"/>
    <w:rsid w:val="009C541F"/>
    <w:rsid w:val="009C66E3"/>
    <w:rsid w:val="009D0565"/>
    <w:rsid w:val="009D3757"/>
    <w:rsid w:val="009D3D04"/>
    <w:rsid w:val="009D4DB0"/>
    <w:rsid w:val="009D7538"/>
    <w:rsid w:val="009D755B"/>
    <w:rsid w:val="009E5986"/>
    <w:rsid w:val="009E7035"/>
    <w:rsid w:val="009F0A58"/>
    <w:rsid w:val="009F2AB5"/>
    <w:rsid w:val="009F3944"/>
    <w:rsid w:val="009F3995"/>
    <w:rsid w:val="009F446A"/>
    <w:rsid w:val="009F7372"/>
    <w:rsid w:val="009F7F8C"/>
    <w:rsid w:val="00A002EE"/>
    <w:rsid w:val="00A01B82"/>
    <w:rsid w:val="00A01E46"/>
    <w:rsid w:val="00A0459A"/>
    <w:rsid w:val="00A04F92"/>
    <w:rsid w:val="00A06F8A"/>
    <w:rsid w:val="00A07C4C"/>
    <w:rsid w:val="00A10032"/>
    <w:rsid w:val="00A100D5"/>
    <w:rsid w:val="00A1026E"/>
    <w:rsid w:val="00A10C5A"/>
    <w:rsid w:val="00A10FFC"/>
    <w:rsid w:val="00A12C95"/>
    <w:rsid w:val="00A13441"/>
    <w:rsid w:val="00A1448E"/>
    <w:rsid w:val="00A21B25"/>
    <w:rsid w:val="00A269B5"/>
    <w:rsid w:val="00A31C87"/>
    <w:rsid w:val="00A3301B"/>
    <w:rsid w:val="00A34476"/>
    <w:rsid w:val="00A354F4"/>
    <w:rsid w:val="00A36E54"/>
    <w:rsid w:val="00A411FF"/>
    <w:rsid w:val="00A416CC"/>
    <w:rsid w:val="00A41B92"/>
    <w:rsid w:val="00A42F92"/>
    <w:rsid w:val="00A44994"/>
    <w:rsid w:val="00A5436A"/>
    <w:rsid w:val="00A55C74"/>
    <w:rsid w:val="00A60C8F"/>
    <w:rsid w:val="00A612DA"/>
    <w:rsid w:val="00A629F4"/>
    <w:rsid w:val="00A6421D"/>
    <w:rsid w:val="00A64D23"/>
    <w:rsid w:val="00A66AC3"/>
    <w:rsid w:val="00A707BA"/>
    <w:rsid w:val="00A72EB5"/>
    <w:rsid w:val="00A74A73"/>
    <w:rsid w:val="00A8021F"/>
    <w:rsid w:val="00A81287"/>
    <w:rsid w:val="00A8162C"/>
    <w:rsid w:val="00A81DFA"/>
    <w:rsid w:val="00A91143"/>
    <w:rsid w:val="00A977D4"/>
    <w:rsid w:val="00AA10BC"/>
    <w:rsid w:val="00AA5F80"/>
    <w:rsid w:val="00AA661E"/>
    <w:rsid w:val="00AA6DA8"/>
    <w:rsid w:val="00AB5D33"/>
    <w:rsid w:val="00AC3B5E"/>
    <w:rsid w:val="00AD08A1"/>
    <w:rsid w:val="00AD1B70"/>
    <w:rsid w:val="00AE0B52"/>
    <w:rsid w:val="00AE2192"/>
    <w:rsid w:val="00AE4826"/>
    <w:rsid w:val="00AF0D9B"/>
    <w:rsid w:val="00AF5459"/>
    <w:rsid w:val="00B04DAB"/>
    <w:rsid w:val="00B0515D"/>
    <w:rsid w:val="00B12936"/>
    <w:rsid w:val="00B14C9A"/>
    <w:rsid w:val="00B1508C"/>
    <w:rsid w:val="00B17841"/>
    <w:rsid w:val="00B2033E"/>
    <w:rsid w:val="00B254F7"/>
    <w:rsid w:val="00B26559"/>
    <w:rsid w:val="00B300B9"/>
    <w:rsid w:val="00B30BE2"/>
    <w:rsid w:val="00B32760"/>
    <w:rsid w:val="00B33255"/>
    <w:rsid w:val="00B33570"/>
    <w:rsid w:val="00B35224"/>
    <w:rsid w:val="00B40588"/>
    <w:rsid w:val="00B416C1"/>
    <w:rsid w:val="00B42780"/>
    <w:rsid w:val="00B427BC"/>
    <w:rsid w:val="00B46755"/>
    <w:rsid w:val="00B47C34"/>
    <w:rsid w:val="00B50F70"/>
    <w:rsid w:val="00B52810"/>
    <w:rsid w:val="00B53EEC"/>
    <w:rsid w:val="00B5508D"/>
    <w:rsid w:val="00B55FFD"/>
    <w:rsid w:val="00B6064C"/>
    <w:rsid w:val="00B61648"/>
    <w:rsid w:val="00B63597"/>
    <w:rsid w:val="00B64CAD"/>
    <w:rsid w:val="00B7004B"/>
    <w:rsid w:val="00B70F82"/>
    <w:rsid w:val="00B712D7"/>
    <w:rsid w:val="00B720EF"/>
    <w:rsid w:val="00B735F0"/>
    <w:rsid w:val="00B74A44"/>
    <w:rsid w:val="00B7521A"/>
    <w:rsid w:val="00B7674E"/>
    <w:rsid w:val="00B771BA"/>
    <w:rsid w:val="00B8101F"/>
    <w:rsid w:val="00B82704"/>
    <w:rsid w:val="00B8297A"/>
    <w:rsid w:val="00B831F5"/>
    <w:rsid w:val="00B836A0"/>
    <w:rsid w:val="00B84C5B"/>
    <w:rsid w:val="00B910E6"/>
    <w:rsid w:val="00B9213B"/>
    <w:rsid w:val="00B92B4F"/>
    <w:rsid w:val="00B92D94"/>
    <w:rsid w:val="00B967D7"/>
    <w:rsid w:val="00B971F8"/>
    <w:rsid w:val="00BA0755"/>
    <w:rsid w:val="00BA0992"/>
    <w:rsid w:val="00BA35D2"/>
    <w:rsid w:val="00BA4405"/>
    <w:rsid w:val="00BA7BF3"/>
    <w:rsid w:val="00BB0714"/>
    <w:rsid w:val="00BB093E"/>
    <w:rsid w:val="00BB2E59"/>
    <w:rsid w:val="00BB35CF"/>
    <w:rsid w:val="00BB38D3"/>
    <w:rsid w:val="00BB3CA8"/>
    <w:rsid w:val="00BB54C7"/>
    <w:rsid w:val="00BC14FD"/>
    <w:rsid w:val="00BD0469"/>
    <w:rsid w:val="00BD07AF"/>
    <w:rsid w:val="00BD6088"/>
    <w:rsid w:val="00BD69B2"/>
    <w:rsid w:val="00BD6BBC"/>
    <w:rsid w:val="00BD6C47"/>
    <w:rsid w:val="00BE1B58"/>
    <w:rsid w:val="00BE23F8"/>
    <w:rsid w:val="00BE42B4"/>
    <w:rsid w:val="00BE5EBF"/>
    <w:rsid w:val="00BE6B2B"/>
    <w:rsid w:val="00BF0830"/>
    <w:rsid w:val="00BF36CF"/>
    <w:rsid w:val="00BF5BAF"/>
    <w:rsid w:val="00BF6FB7"/>
    <w:rsid w:val="00C0080B"/>
    <w:rsid w:val="00C0365C"/>
    <w:rsid w:val="00C043ED"/>
    <w:rsid w:val="00C05181"/>
    <w:rsid w:val="00C06A93"/>
    <w:rsid w:val="00C06B42"/>
    <w:rsid w:val="00C07D07"/>
    <w:rsid w:val="00C10A66"/>
    <w:rsid w:val="00C10CFE"/>
    <w:rsid w:val="00C17799"/>
    <w:rsid w:val="00C202CF"/>
    <w:rsid w:val="00C22D10"/>
    <w:rsid w:val="00C22FD6"/>
    <w:rsid w:val="00C23DE6"/>
    <w:rsid w:val="00C245C1"/>
    <w:rsid w:val="00C2481D"/>
    <w:rsid w:val="00C25622"/>
    <w:rsid w:val="00C27CBF"/>
    <w:rsid w:val="00C33FB4"/>
    <w:rsid w:val="00C342B6"/>
    <w:rsid w:val="00C35371"/>
    <w:rsid w:val="00C36A49"/>
    <w:rsid w:val="00C37F14"/>
    <w:rsid w:val="00C438D3"/>
    <w:rsid w:val="00C458BB"/>
    <w:rsid w:val="00C46EE4"/>
    <w:rsid w:val="00C52901"/>
    <w:rsid w:val="00C546FC"/>
    <w:rsid w:val="00C55806"/>
    <w:rsid w:val="00C57182"/>
    <w:rsid w:val="00C62E6E"/>
    <w:rsid w:val="00C6318A"/>
    <w:rsid w:val="00C63325"/>
    <w:rsid w:val="00C641D4"/>
    <w:rsid w:val="00C64907"/>
    <w:rsid w:val="00C64D25"/>
    <w:rsid w:val="00C66CB7"/>
    <w:rsid w:val="00C66E9F"/>
    <w:rsid w:val="00C7233C"/>
    <w:rsid w:val="00C7255E"/>
    <w:rsid w:val="00C7275B"/>
    <w:rsid w:val="00C73005"/>
    <w:rsid w:val="00C77470"/>
    <w:rsid w:val="00C805A4"/>
    <w:rsid w:val="00C81A84"/>
    <w:rsid w:val="00C82541"/>
    <w:rsid w:val="00C836B1"/>
    <w:rsid w:val="00C83EEA"/>
    <w:rsid w:val="00C851D8"/>
    <w:rsid w:val="00C8578F"/>
    <w:rsid w:val="00C8627F"/>
    <w:rsid w:val="00C87C6A"/>
    <w:rsid w:val="00C9099A"/>
    <w:rsid w:val="00C9432E"/>
    <w:rsid w:val="00C951E9"/>
    <w:rsid w:val="00CA0218"/>
    <w:rsid w:val="00CA57FA"/>
    <w:rsid w:val="00CB2ADD"/>
    <w:rsid w:val="00CB72D1"/>
    <w:rsid w:val="00CC12C4"/>
    <w:rsid w:val="00CC1CF3"/>
    <w:rsid w:val="00CC24F6"/>
    <w:rsid w:val="00CC3563"/>
    <w:rsid w:val="00CC3945"/>
    <w:rsid w:val="00CC6F77"/>
    <w:rsid w:val="00CD1409"/>
    <w:rsid w:val="00CD3283"/>
    <w:rsid w:val="00CD4BE2"/>
    <w:rsid w:val="00CD4F75"/>
    <w:rsid w:val="00CD6964"/>
    <w:rsid w:val="00CD74A1"/>
    <w:rsid w:val="00CD79CF"/>
    <w:rsid w:val="00CE17D4"/>
    <w:rsid w:val="00CE2742"/>
    <w:rsid w:val="00CE4A47"/>
    <w:rsid w:val="00CE6614"/>
    <w:rsid w:val="00CF26A1"/>
    <w:rsid w:val="00CF463B"/>
    <w:rsid w:val="00CF6271"/>
    <w:rsid w:val="00CF7D8A"/>
    <w:rsid w:val="00CF7EA0"/>
    <w:rsid w:val="00D03150"/>
    <w:rsid w:val="00D052BC"/>
    <w:rsid w:val="00D05E1B"/>
    <w:rsid w:val="00D06B91"/>
    <w:rsid w:val="00D06D75"/>
    <w:rsid w:val="00D13D7B"/>
    <w:rsid w:val="00D227D4"/>
    <w:rsid w:val="00D23053"/>
    <w:rsid w:val="00D25536"/>
    <w:rsid w:val="00D26807"/>
    <w:rsid w:val="00D2698A"/>
    <w:rsid w:val="00D31AE9"/>
    <w:rsid w:val="00D416FE"/>
    <w:rsid w:val="00D43F0D"/>
    <w:rsid w:val="00D47C7B"/>
    <w:rsid w:val="00D518B8"/>
    <w:rsid w:val="00D53A10"/>
    <w:rsid w:val="00D55ECD"/>
    <w:rsid w:val="00D56562"/>
    <w:rsid w:val="00D60BFA"/>
    <w:rsid w:val="00D60E49"/>
    <w:rsid w:val="00D710A0"/>
    <w:rsid w:val="00D71881"/>
    <w:rsid w:val="00D71F0A"/>
    <w:rsid w:val="00D74AAD"/>
    <w:rsid w:val="00D753F0"/>
    <w:rsid w:val="00D8070A"/>
    <w:rsid w:val="00D822B2"/>
    <w:rsid w:val="00D84AB5"/>
    <w:rsid w:val="00D87FC9"/>
    <w:rsid w:val="00D91E1D"/>
    <w:rsid w:val="00DA1CD2"/>
    <w:rsid w:val="00DA1EB1"/>
    <w:rsid w:val="00DA508A"/>
    <w:rsid w:val="00DA55DF"/>
    <w:rsid w:val="00DB0826"/>
    <w:rsid w:val="00DB38D3"/>
    <w:rsid w:val="00DB40AA"/>
    <w:rsid w:val="00DB4E42"/>
    <w:rsid w:val="00DB53AB"/>
    <w:rsid w:val="00DB5FC3"/>
    <w:rsid w:val="00DB6D8F"/>
    <w:rsid w:val="00DB71CF"/>
    <w:rsid w:val="00DB7D09"/>
    <w:rsid w:val="00DB7DC9"/>
    <w:rsid w:val="00DC09F4"/>
    <w:rsid w:val="00DC30C6"/>
    <w:rsid w:val="00DC50D1"/>
    <w:rsid w:val="00DC6629"/>
    <w:rsid w:val="00DD1617"/>
    <w:rsid w:val="00DD16BD"/>
    <w:rsid w:val="00DD6665"/>
    <w:rsid w:val="00DD7A6C"/>
    <w:rsid w:val="00DE22F3"/>
    <w:rsid w:val="00DE45E5"/>
    <w:rsid w:val="00DE612E"/>
    <w:rsid w:val="00DF0618"/>
    <w:rsid w:val="00DF2017"/>
    <w:rsid w:val="00DF441E"/>
    <w:rsid w:val="00DF44B9"/>
    <w:rsid w:val="00DF52F7"/>
    <w:rsid w:val="00E000F9"/>
    <w:rsid w:val="00E10CFE"/>
    <w:rsid w:val="00E112DF"/>
    <w:rsid w:val="00E1238E"/>
    <w:rsid w:val="00E123AD"/>
    <w:rsid w:val="00E12F2A"/>
    <w:rsid w:val="00E15503"/>
    <w:rsid w:val="00E158FB"/>
    <w:rsid w:val="00E15B70"/>
    <w:rsid w:val="00E160CD"/>
    <w:rsid w:val="00E169D4"/>
    <w:rsid w:val="00E208DB"/>
    <w:rsid w:val="00E21611"/>
    <w:rsid w:val="00E225D0"/>
    <w:rsid w:val="00E22F17"/>
    <w:rsid w:val="00E24818"/>
    <w:rsid w:val="00E24D09"/>
    <w:rsid w:val="00E25EB0"/>
    <w:rsid w:val="00E275C0"/>
    <w:rsid w:val="00E320F3"/>
    <w:rsid w:val="00E3275E"/>
    <w:rsid w:val="00E33BEF"/>
    <w:rsid w:val="00E34196"/>
    <w:rsid w:val="00E3708A"/>
    <w:rsid w:val="00E411E3"/>
    <w:rsid w:val="00E4223F"/>
    <w:rsid w:val="00E4442E"/>
    <w:rsid w:val="00E47062"/>
    <w:rsid w:val="00E47A29"/>
    <w:rsid w:val="00E51494"/>
    <w:rsid w:val="00E52416"/>
    <w:rsid w:val="00E57141"/>
    <w:rsid w:val="00E578FF"/>
    <w:rsid w:val="00E57934"/>
    <w:rsid w:val="00E57A6C"/>
    <w:rsid w:val="00E64748"/>
    <w:rsid w:val="00E7040B"/>
    <w:rsid w:val="00E70941"/>
    <w:rsid w:val="00E728BF"/>
    <w:rsid w:val="00E73D16"/>
    <w:rsid w:val="00E7540B"/>
    <w:rsid w:val="00E76699"/>
    <w:rsid w:val="00E76D48"/>
    <w:rsid w:val="00E80728"/>
    <w:rsid w:val="00E82E63"/>
    <w:rsid w:val="00E87918"/>
    <w:rsid w:val="00E90E17"/>
    <w:rsid w:val="00E9296F"/>
    <w:rsid w:val="00E9629B"/>
    <w:rsid w:val="00E97766"/>
    <w:rsid w:val="00EA0FB8"/>
    <w:rsid w:val="00EA30E2"/>
    <w:rsid w:val="00EA4A82"/>
    <w:rsid w:val="00EA4DFE"/>
    <w:rsid w:val="00EA5AAA"/>
    <w:rsid w:val="00EA6D92"/>
    <w:rsid w:val="00EA74D1"/>
    <w:rsid w:val="00EA7FB2"/>
    <w:rsid w:val="00EB010A"/>
    <w:rsid w:val="00EB16BB"/>
    <w:rsid w:val="00EB1A5D"/>
    <w:rsid w:val="00EB1E37"/>
    <w:rsid w:val="00EB3933"/>
    <w:rsid w:val="00EB461E"/>
    <w:rsid w:val="00EB70AC"/>
    <w:rsid w:val="00EB7330"/>
    <w:rsid w:val="00EC13B6"/>
    <w:rsid w:val="00EC15AC"/>
    <w:rsid w:val="00EC30F1"/>
    <w:rsid w:val="00ED0F4A"/>
    <w:rsid w:val="00ED3422"/>
    <w:rsid w:val="00ED465D"/>
    <w:rsid w:val="00ED4AA0"/>
    <w:rsid w:val="00EE269D"/>
    <w:rsid w:val="00EF0D32"/>
    <w:rsid w:val="00EF1613"/>
    <w:rsid w:val="00F00818"/>
    <w:rsid w:val="00F02384"/>
    <w:rsid w:val="00F05846"/>
    <w:rsid w:val="00F070EC"/>
    <w:rsid w:val="00F0799E"/>
    <w:rsid w:val="00F1227F"/>
    <w:rsid w:val="00F12EAA"/>
    <w:rsid w:val="00F12FD5"/>
    <w:rsid w:val="00F13652"/>
    <w:rsid w:val="00F15343"/>
    <w:rsid w:val="00F16113"/>
    <w:rsid w:val="00F21C99"/>
    <w:rsid w:val="00F22666"/>
    <w:rsid w:val="00F274FD"/>
    <w:rsid w:val="00F3046C"/>
    <w:rsid w:val="00F30E6E"/>
    <w:rsid w:val="00F3543B"/>
    <w:rsid w:val="00F37C59"/>
    <w:rsid w:val="00F40BAB"/>
    <w:rsid w:val="00F4246B"/>
    <w:rsid w:val="00F4545E"/>
    <w:rsid w:val="00F46F09"/>
    <w:rsid w:val="00F5387E"/>
    <w:rsid w:val="00F5436E"/>
    <w:rsid w:val="00F552AF"/>
    <w:rsid w:val="00F606B2"/>
    <w:rsid w:val="00F624F2"/>
    <w:rsid w:val="00F631BD"/>
    <w:rsid w:val="00F67B72"/>
    <w:rsid w:val="00F67D6B"/>
    <w:rsid w:val="00F715BF"/>
    <w:rsid w:val="00F7161A"/>
    <w:rsid w:val="00F71634"/>
    <w:rsid w:val="00F73F95"/>
    <w:rsid w:val="00F77C47"/>
    <w:rsid w:val="00F811EC"/>
    <w:rsid w:val="00F83E48"/>
    <w:rsid w:val="00F87300"/>
    <w:rsid w:val="00F92378"/>
    <w:rsid w:val="00F93539"/>
    <w:rsid w:val="00F938C9"/>
    <w:rsid w:val="00F97DF3"/>
    <w:rsid w:val="00FA0A6E"/>
    <w:rsid w:val="00FA0AD3"/>
    <w:rsid w:val="00FA3F9F"/>
    <w:rsid w:val="00FA4B87"/>
    <w:rsid w:val="00FA6181"/>
    <w:rsid w:val="00FA7B22"/>
    <w:rsid w:val="00FB00AE"/>
    <w:rsid w:val="00FB2695"/>
    <w:rsid w:val="00FB2FD2"/>
    <w:rsid w:val="00FB6D33"/>
    <w:rsid w:val="00FB798C"/>
    <w:rsid w:val="00FB7AE8"/>
    <w:rsid w:val="00FB7B90"/>
    <w:rsid w:val="00FC1194"/>
    <w:rsid w:val="00FC1268"/>
    <w:rsid w:val="00FC6036"/>
    <w:rsid w:val="00FC6C39"/>
    <w:rsid w:val="00FC7EAD"/>
    <w:rsid w:val="00FD00C8"/>
    <w:rsid w:val="00FD35CE"/>
    <w:rsid w:val="00FD5563"/>
    <w:rsid w:val="00FD57CE"/>
    <w:rsid w:val="00FD739E"/>
    <w:rsid w:val="00FE151B"/>
    <w:rsid w:val="00FE2126"/>
    <w:rsid w:val="00FE50F4"/>
    <w:rsid w:val="00FE61F3"/>
    <w:rsid w:val="00FF245B"/>
    <w:rsid w:val="00FF3CF1"/>
    <w:rsid w:val="00FF3ED4"/>
    <w:rsid w:val="00FF48D5"/>
    <w:rsid w:val="00FF5046"/>
    <w:rsid w:val="00FF6093"/>
    <w:rsid w:val="00FF68D9"/>
    <w:rsid w:val="00FF6B88"/>
    <w:rsid w:val="08DF9DEE"/>
    <w:rsid w:val="09A7936B"/>
    <w:rsid w:val="0A5407BF"/>
    <w:rsid w:val="0C23D247"/>
    <w:rsid w:val="0C30BF6B"/>
    <w:rsid w:val="19B0018C"/>
    <w:rsid w:val="2550401E"/>
    <w:rsid w:val="2A4F8850"/>
    <w:rsid w:val="3398BB1B"/>
    <w:rsid w:val="3701EA70"/>
    <w:rsid w:val="3735228A"/>
    <w:rsid w:val="3920A691"/>
    <w:rsid w:val="3CB5CB3C"/>
    <w:rsid w:val="3CEAA86F"/>
    <w:rsid w:val="3F084D51"/>
    <w:rsid w:val="3F8E1DA9"/>
    <w:rsid w:val="4B5E63BF"/>
    <w:rsid w:val="4B80C05A"/>
    <w:rsid w:val="4F36A42A"/>
    <w:rsid w:val="566D219E"/>
    <w:rsid w:val="638B136D"/>
    <w:rsid w:val="679B12D1"/>
    <w:rsid w:val="6B913FA4"/>
    <w:rsid w:val="6E8A0CD1"/>
    <w:rsid w:val="70033763"/>
    <w:rsid w:val="775F8409"/>
    <w:rsid w:val="79F23F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C7D0"/>
  <w15:chartTrackingRefBased/>
  <w15:docId w15:val="{929916F9-CA78-44AB-AF00-154AA69F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AA"/>
  </w:style>
  <w:style w:type="paragraph" w:styleId="Titre1">
    <w:name w:val="heading 1"/>
    <w:basedOn w:val="Normal"/>
    <w:next w:val="Normal"/>
    <w:link w:val="Titre1Car"/>
    <w:uiPriority w:val="9"/>
    <w:qFormat/>
    <w:rsid w:val="00784DBA"/>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Titre2">
    <w:name w:val="heading 2"/>
    <w:basedOn w:val="Normal"/>
    <w:next w:val="Normal"/>
    <w:link w:val="Titre2Car"/>
    <w:uiPriority w:val="9"/>
    <w:unhideWhenUsed/>
    <w:qFormat/>
    <w:rsid w:val="00E82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33FE9"/>
    <w:pPr>
      <w:keepNext/>
      <w:keepLines/>
      <w:spacing w:before="80" w:after="0" w:line="240" w:lineRule="auto"/>
      <w:outlineLvl w:val="2"/>
    </w:pPr>
    <w:rPr>
      <w:rFonts w:asciiTheme="majorHAnsi" w:eastAsiaTheme="majorEastAsia" w:hAnsiTheme="majorHAnsi" w:cstheme="majorBidi"/>
      <w:color w:val="0F4761" w:themeColor="accent1" w:themeShade="BF"/>
      <w:sz w:val="32"/>
      <w:szCs w:val="24"/>
    </w:rPr>
  </w:style>
  <w:style w:type="paragraph" w:styleId="Titre4">
    <w:name w:val="heading 4"/>
    <w:basedOn w:val="Normal"/>
    <w:next w:val="Normal"/>
    <w:link w:val="Titre4Car"/>
    <w:uiPriority w:val="9"/>
    <w:semiHidden/>
    <w:unhideWhenUsed/>
    <w:qFormat/>
    <w:rsid w:val="00784DBA"/>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Titre5">
    <w:name w:val="heading 5"/>
    <w:basedOn w:val="Normal"/>
    <w:next w:val="Normal"/>
    <w:link w:val="Titre5Car"/>
    <w:uiPriority w:val="9"/>
    <w:semiHidden/>
    <w:unhideWhenUsed/>
    <w:qFormat/>
    <w:rsid w:val="00784DBA"/>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Titre6">
    <w:name w:val="heading 6"/>
    <w:basedOn w:val="Normal"/>
    <w:next w:val="Normal"/>
    <w:link w:val="Titre6Car"/>
    <w:uiPriority w:val="9"/>
    <w:semiHidden/>
    <w:unhideWhenUsed/>
    <w:qFormat/>
    <w:rsid w:val="00784DBA"/>
    <w:pPr>
      <w:keepNext/>
      <w:keepLines/>
      <w:spacing w:before="40" w:after="0"/>
      <w:outlineLvl w:val="5"/>
    </w:pPr>
    <w:rPr>
      <w:rFonts w:asciiTheme="majorHAnsi" w:eastAsiaTheme="majorEastAsia" w:hAnsiTheme="majorHAnsi" w:cstheme="majorBidi"/>
      <w:color w:val="4EA72E" w:themeColor="accent6"/>
    </w:rPr>
  </w:style>
  <w:style w:type="paragraph" w:styleId="Titre7">
    <w:name w:val="heading 7"/>
    <w:basedOn w:val="Normal"/>
    <w:next w:val="Normal"/>
    <w:link w:val="Titre7Car"/>
    <w:uiPriority w:val="9"/>
    <w:semiHidden/>
    <w:unhideWhenUsed/>
    <w:qFormat/>
    <w:rsid w:val="00784DBA"/>
    <w:pPr>
      <w:keepNext/>
      <w:keepLines/>
      <w:spacing w:before="40" w:after="0"/>
      <w:outlineLvl w:val="6"/>
    </w:pPr>
    <w:rPr>
      <w:rFonts w:asciiTheme="majorHAnsi" w:eastAsiaTheme="majorEastAsia" w:hAnsiTheme="majorHAnsi" w:cstheme="majorBidi"/>
      <w:b/>
      <w:bCs/>
      <w:color w:val="4EA72E" w:themeColor="accent6"/>
    </w:rPr>
  </w:style>
  <w:style w:type="paragraph" w:styleId="Titre8">
    <w:name w:val="heading 8"/>
    <w:basedOn w:val="Normal"/>
    <w:next w:val="Normal"/>
    <w:link w:val="Titre8Car"/>
    <w:uiPriority w:val="9"/>
    <w:semiHidden/>
    <w:unhideWhenUsed/>
    <w:qFormat/>
    <w:rsid w:val="00784DBA"/>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Titre9">
    <w:name w:val="heading 9"/>
    <w:basedOn w:val="Normal"/>
    <w:next w:val="Normal"/>
    <w:link w:val="Titre9Car"/>
    <w:uiPriority w:val="9"/>
    <w:semiHidden/>
    <w:unhideWhenUsed/>
    <w:qFormat/>
    <w:rsid w:val="00784DBA"/>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E63"/>
    <w:rPr>
      <w:rFonts w:asciiTheme="majorHAnsi" w:eastAsiaTheme="majorEastAsia" w:hAnsiTheme="majorHAnsi" w:cstheme="majorBidi"/>
      <w:color w:val="3A7C22" w:themeColor="accent6" w:themeShade="BF"/>
      <w:sz w:val="40"/>
      <w:szCs w:val="40"/>
    </w:rPr>
  </w:style>
  <w:style w:type="character" w:customStyle="1" w:styleId="Titre2Car">
    <w:name w:val="Titre 2 Car"/>
    <w:basedOn w:val="Policepardfaut"/>
    <w:link w:val="Titre2"/>
    <w:uiPriority w:val="9"/>
    <w:rsid w:val="00E82E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33FE9"/>
    <w:rPr>
      <w:rFonts w:asciiTheme="majorHAnsi" w:eastAsiaTheme="majorEastAsia" w:hAnsiTheme="majorHAnsi" w:cstheme="majorBidi"/>
      <w:color w:val="0F4761" w:themeColor="accent1" w:themeShade="BF"/>
      <w:sz w:val="32"/>
      <w:szCs w:val="24"/>
    </w:rPr>
  </w:style>
  <w:style w:type="character" w:customStyle="1" w:styleId="Titre4Car">
    <w:name w:val="Titre 4 Car"/>
    <w:basedOn w:val="Policepardfaut"/>
    <w:link w:val="Titre4"/>
    <w:uiPriority w:val="9"/>
    <w:semiHidden/>
    <w:rsid w:val="00E82E63"/>
    <w:rPr>
      <w:rFonts w:asciiTheme="majorHAnsi" w:eastAsiaTheme="majorEastAsia" w:hAnsiTheme="majorHAnsi" w:cstheme="majorBidi"/>
      <w:color w:val="4EA72E" w:themeColor="accent6"/>
      <w:sz w:val="22"/>
      <w:szCs w:val="22"/>
    </w:rPr>
  </w:style>
  <w:style w:type="character" w:customStyle="1" w:styleId="Titre5Car">
    <w:name w:val="Titre 5 Car"/>
    <w:basedOn w:val="Policepardfaut"/>
    <w:link w:val="Titre5"/>
    <w:uiPriority w:val="9"/>
    <w:semiHidden/>
    <w:rsid w:val="00E82E63"/>
    <w:rPr>
      <w:rFonts w:asciiTheme="majorHAnsi" w:eastAsiaTheme="majorEastAsia" w:hAnsiTheme="majorHAnsi" w:cstheme="majorBidi"/>
      <w:i/>
      <w:iCs/>
      <w:color w:val="4EA72E" w:themeColor="accent6"/>
      <w:sz w:val="22"/>
      <w:szCs w:val="22"/>
    </w:rPr>
  </w:style>
  <w:style w:type="character" w:customStyle="1" w:styleId="Titre6Car">
    <w:name w:val="Titre 6 Car"/>
    <w:basedOn w:val="Policepardfaut"/>
    <w:link w:val="Titre6"/>
    <w:uiPriority w:val="9"/>
    <w:semiHidden/>
    <w:rsid w:val="00E82E63"/>
    <w:rPr>
      <w:rFonts w:asciiTheme="majorHAnsi" w:eastAsiaTheme="majorEastAsia" w:hAnsiTheme="majorHAnsi" w:cstheme="majorBidi"/>
      <w:color w:val="4EA72E" w:themeColor="accent6"/>
    </w:rPr>
  </w:style>
  <w:style w:type="character" w:customStyle="1" w:styleId="Titre7Car">
    <w:name w:val="Titre 7 Car"/>
    <w:basedOn w:val="Policepardfaut"/>
    <w:link w:val="Titre7"/>
    <w:uiPriority w:val="9"/>
    <w:semiHidden/>
    <w:rsid w:val="00E82E63"/>
    <w:rPr>
      <w:rFonts w:asciiTheme="majorHAnsi" w:eastAsiaTheme="majorEastAsia" w:hAnsiTheme="majorHAnsi" w:cstheme="majorBidi"/>
      <w:b/>
      <w:bCs/>
      <w:color w:val="4EA72E" w:themeColor="accent6"/>
    </w:rPr>
  </w:style>
  <w:style w:type="character" w:customStyle="1" w:styleId="Titre8Car">
    <w:name w:val="Titre 8 Car"/>
    <w:basedOn w:val="Policepardfaut"/>
    <w:link w:val="Titre8"/>
    <w:uiPriority w:val="9"/>
    <w:semiHidden/>
    <w:rsid w:val="00E82E63"/>
    <w:rPr>
      <w:rFonts w:asciiTheme="majorHAnsi" w:eastAsiaTheme="majorEastAsia" w:hAnsiTheme="majorHAnsi" w:cstheme="majorBidi"/>
      <w:b/>
      <w:bCs/>
      <w:i/>
      <w:iCs/>
      <w:color w:val="4EA72E" w:themeColor="accent6"/>
      <w:sz w:val="20"/>
      <w:szCs w:val="20"/>
    </w:rPr>
  </w:style>
  <w:style w:type="character" w:customStyle="1" w:styleId="Titre9Car">
    <w:name w:val="Titre 9 Car"/>
    <w:basedOn w:val="Policepardfaut"/>
    <w:link w:val="Titre9"/>
    <w:uiPriority w:val="9"/>
    <w:semiHidden/>
    <w:rsid w:val="00E82E63"/>
    <w:rPr>
      <w:rFonts w:asciiTheme="majorHAnsi" w:eastAsiaTheme="majorEastAsia" w:hAnsiTheme="majorHAnsi" w:cstheme="majorBidi"/>
      <w:i/>
      <w:iCs/>
      <w:color w:val="4EA72E" w:themeColor="accent6"/>
      <w:sz w:val="20"/>
      <w:szCs w:val="20"/>
    </w:rPr>
  </w:style>
  <w:style w:type="paragraph" w:styleId="Titre">
    <w:name w:val="Title"/>
    <w:basedOn w:val="Normal"/>
    <w:next w:val="Normal"/>
    <w:link w:val="TitreCar"/>
    <w:uiPriority w:val="10"/>
    <w:qFormat/>
    <w:rsid w:val="007F16F0"/>
    <w:pPr>
      <w:spacing w:after="0" w:line="240" w:lineRule="auto"/>
      <w:contextualSpacing/>
    </w:pPr>
    <w:rPr>
      <w:rFonts w:asciiTheme="majorHAnsi" w:eastAsiaTheme="majorEastAsia" w:hAnsiTheme="majorHAnsi" w:cstheme="majorBidi"/>
      <w:color w:val="0F4761" w:themeColor="accent1" w:themeShade="BF"/>
      <w:spacing w:val="-15"/>
      <w:sz w:val="32"/>
      <w:szCs w:val="96"/>
    </w:rPr>
  </w:style>
  <w:style w:type="character" w:customStyle="1" w:styleId="TitreCar">
    <w:name w:val="Titre Car"/>
    <w:basedOn w:val="Policepardfaut"/>
    <w:link w:val="Titre"/>
    <w:uiPriority w:val="10"/>
    <w:rsid w:val="007F16F0"/>
    <w:rPr>
      <w:rFonts w:asciiTheme="majorHAnsi" w:eastAsiaTheme="majorEastAsia" w:hAnsiTheme="majorHAnsi" w:cstheme="majorBidi"/>
      <w:color w:val="0F4761" w:themeColor="accent1" w:themeShade="BF"/>
      <w:spacing w:val="-15"/>
      <w:sz w:val="32"/>
      <w:szCs w:val="96"/>
    </w:rPr>
  </w:style>
  <w:style w:type="paragraph" w:styleId="Sous-titre">
    <w:name w:val="Subtitle"/>
    <w:basedOn w:val="Normal"/>
    <w:next w:val="Normal"/>
    <w:link w:val="Sous-titreCar"/>
    <w:uiPriority w:val="11"/>
    <w:qFormat/>
    <w:rsid w:val="00784DBA"/>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E82E63"/>
    <w:rPr>
      <w:rFonts w:asciiTheme="majorHAnsi" w:eastAsiaTheme="majorEastAsia" w:hAnsiTheme="majorHAnsi" w:cstheme="majorBidi"/>
      <w:sz w:val="30"/>
      <w:szCs w:val="30"/>
    </w:rPr>
  </w:style>
  <w:style w:type="paragraph" w:styleId="Citation">
    <w:name w:val="Quote"/>
    <w:basedOn w:val="Normal"/>
    <w:next w:val="Normal"/>
    <w:link w:val="CitationCar"/>
    <w:uiPriority w:val="29"/>
    <w:qFormat/>
    <w:rsid w:val="00784DBA"/>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E82E63"/>
    <w:rPr>
      <w:i/>
      <w:iCs/>
      <w:color w:val="262626" w:themeColor="text1" w:themeTint="D9"/>
    </w:rPr>
  </w:style>
  <w:style w:type="paragraph" w:styleId="Paragraphedeliste">
    <w:name w:val="List Paragraph"/>
    <w:basedOn w:val="Normal"/>
    <w:uiPriority w:val="34"/>
    <w:qFormat/>
    <w:rsid w:val="00E82E63"/>
    <w:pPr>
      <w:ind w:left="720"/>
      <w:contextualSpacing/>
    </w:pPr>
  </w:style>
  <w:style w:type="character" w:styleId="Accentuationintense">
    <w:name w:val="Intense Emphasis"/>
    <w:basedOn w:val="Policepardfaut"/>
    <w:uiPriority w:val="21"/>
    <w:qFormat/>
    <w:rsid w:val="00784DBA"/>
    <w:rPr>
      <w:b/>
      <w:bCs/>
      <w:i/>
      <w:iCs/>
    </w:rPr>
  </w:style>
  <w:style w:type="paragraph" w:styleId="Citationintense">
    <w:name w:val="Intense Quote"/>
    <w:basedOn w:val="Normal"/>
    <w:next w:val="Normal"/>
    <w:link w:val="CitationintenseCar"/>
    <w:uiPriority w:val="30"/>
    <w:qFormat/>
    <w:rsid w:val="00784DBA"/>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CitationintenseCar">
    <w:name w:val="Citation intense Car"/>
    <w:basedOn w:val="Policepardfaut"/>
    <w:link w:val="Citationintense"/>
    <w:uiPriority w:val="30"/>
    <w:rsid w:val="00E82E63"/>
    <w:rPr>
      <w:rFonts w:asciiTheme="majorHAnsi" w:eastAsiaTheme="majorEastAsia" w:hAnsiTheme="majorHAnsi" w:cstheme="majorBidi"/>
      <w:i/>
      <w:iCs/>
      <w:color w:val="4EA72E" w:themeColor="accent6"/>
      <w:sz w:val="32"/>
      <w:szCs w:val="32"/>
    </w:rPr>
  </w:style>
  <w:style w:type="character" w:styleId="Rfrenceintense">
    <w:name w:val="Intense Reference"/>
    <w:basedOn w:val="Policepardfaut"/>
    <w:uiPriority w:val="32"/>
    <w:qFormat/>
    <w:rsid w:val="00784DBA"/>
    <w:rPr>
      <w:b/>
      <w:bCs/>
      <w:smallCaps/>
      <w:color w:val="4EA72E" w:themeColor="accent6"/>
    </w:rPr>
  </w:style>
  <w:style w:type="paragraph" w:styleId="Notedebasdepage">
    <w:name w:val="footnote text"/>
    <w:basedOn w:val="Normal"/>
    <w:link w:val="NotedebasdepageCar"/>
    <w:uiPriority w:val="99"/>
    <w:semiHidden/>
    <w:unhideWhenUsed/>
    <w:rsid w:val="00E82E63"/>
    <w:pPr>
      <w:spacing w:after="0" w:line="240" w:lineRule="auto"/>
    </w:pPr>
  </w:style>
  <w:style w:type="character" w:customStyle="1" w:styleId="NotedebasdepageCar">
    <w:name w:val="Note de bas de page Car"/>
    <w:basedOn w:val="Policepardfaut"/>
    <w:link w:val="Notedebasdepage"/>
    <w:uiPriority w:val="99"/>
    <w:semiHidden/>
    <w:rsid w:val="00E82E63"/>
  </w:style>
  <w:style w:type="table" w:styleId="Grilledutableau">
    <w:name w:val="Table Grid"/>
    <w:basedOn w:val="TableauNormal"/>
    <w:uiPriority w:val="39"/>
    <w:rsid w:val="00E8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E82E63"/>
    <w:rPr>
      <w:color w:val="0000FF"/>
      <w:u w:val="single"/>
    </w:rPr>
  </w:style>
  <w:style w:type="paragraph" w:customStyle="1" w:styleId="Paragraphedeliste-Carr">
    <w:name w:val="Paragraphe de liste - Carré"/>
    <w:basedOn w:val="Normal"/>
    <w:uiPriority w:val="99"/>
    <w:rsid w:val="00E82E63"/>
    <w:pPr>
      <w:numPr>
        <w:numId w:val="3"/>
      </w:numPr>
      <w:tabs>
        <w:tab w:val="left" w:pos="360"/>
      </w:tabs>
      <w:suppressAutoHyphens/>
      <w:jc w:val="both"/>
    </w:pPr>
    <w:rPr>
      <w:rFonts w:ascii="Calibri" w:hAnsi="Calibri"/>
      <w:sz w:val="22"/>
      <w:szCs w:val="22"/>
    </w:rPr>
  </w:style>
  <w:style w:type="character" w:styleId="Appelnotedebasdep">
    <w:name w:val="footnote reference"/>
    <w:uiPriority w:val="99"/>
    <w:semiHidden/>
    <w:unhideWhenUsed/>
    <w:rsid w:val="00E82E63"/>
    <w:rPr>
      <w:vertAlign w:val="superscript"/>
    </w:rPr>
  </w:style>
  <w:style w:type="character" w:styleId="Mentionnonrsolue">
    <w:name w:val="Unresolved Mention"/>
    <w:basedOn w:val="Policepardfaut"/>
    <w:uiPriority w:val="99"/>
    <w:semiHidden/>
    <w:unhideWhenUsed/>
    <w:rsid w:val="00E82E63"/>
    <w:rPr>
      <w:color w:val="605E5C"/>
      <w:shd w:val="clear" w:color="auto" w:fill="E1DFDD"/>
    </w:rPr>
  </w:style>
  <w:style w:type="paragraph" w:styleId="Rvision">
    <w:name w:val="Revision"/>
    <w:hidden/>
    <w:uiPriority w:val="99"/>
    <w:semiHidden/>
    <w:rsid w:val="008C6FBC"/>
    <w:pPr>
      <w:spacing w:after="0" w:line="240" w:lineRule="auto"/>
    </w:pPr>
  </w:style>
  <w:style w:type="paragraph" w:styleId="En-tte">
    <w:name w:val="header"/>
    <w:basedOn w:val="Normal"/>
    <w:link w:val="En-tteCar"/>
    <w:uiPriority w:val="99"/>
    <w:unhideWhenUsed/>
    <w:rsid w:val="004617A5"/>
    <w:pPr>
      <w:tabs>
        <w:tab w:val="center" w:pos="4320"/>
        <w:tab w:val="right" w:pos="8640"/>
      </w:tabs>
      <w:spacing w:after="0" w:line="240" w:lineRule="auto"/>
    </w:pPr>
  </w:style>
  <w:style w:type="character" w:customStyle="1" w:styleId="En-tteCar">
    <w:name w:val="En-tête Car"/>
    <w:basedOn w:val="Policepardfaut"/>
    <w:link w:val="En-tte"/>
    <w:uiPriority w:val="99"/>
    <w:rsid w:val="004617A5"/>
  </w:style>
  <w:style w:type="paragraph" w:styleId="Pieddepage">
    <w:name w:val="footer"/>
    <w:basedOn w:val="Normal"/>
    <w:link w:val="PieddepageCar"/>
    <w:uiPriority w:val="99"/>
    <w:unhideWhenUsed/>
    <w:rsid w:val="004617A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617A5"/>
  </w:style>
  <w:style w:type="character" w:customStyle="1" w:styleId="normaltextrun">
    <w:name w:val="normaltextrun"/>
    <w:basedOn w:val="Policepardfaut"/>
    <w:rsid w:val="00313D85"/>
  </w:style>
  <w:style w:type="character" w:customStyle="1" w:styleId="eop">
    <w:name w:val="eop"/>
    <w:basedOn w:val="Policepardfaut"/>
    <w:rsid w:val="00313D85"/>
  </w:style>
  <w:style w:type="character" w:styleId="Mention">
    <w:name w:val="Mention"/>
    <w:basedOn w:val="Policepardfaut"/>
    <w:uiPriority w:val="99"/>
    <w:unhideWhenUsed/>
    <w:rsid w:val="00717ACC"/>
    <w:rPr>
      <w:color w:val="2B579A"/>
      <w:shd w:val="clear" w:color="auto" w:fill="E1DFDD"/>
    </w:rPr>
  </w:style>
  <w:style w:type="paragraph" w:styleId="Sansinterligne">
    <w:name w:val="No Spacing"/>
    <w:uiPriority w:val="1"/>
    <w:qFormat/>
    <w:rsid w:val="00CB72D1"/>
    <w:pPr>
      <w:spacing w:after="0" w:line="240" w:lineRule="auto"/>
    </w:pPr>
  </w:style>
  <w:style w:type="paragraph" w:styleId="Lgende">
    <w:name w:val="caption"/>
    <w:basedOn w:val="Normal"/>
    <w:next w:val="Normal"/>
    <w:uiPriority w:val="35"/>
    <w:semiHidden/>
    <w:unhideWhenUsed/>
    <w:qFormat/>
    <w:rsid w:val="00CB72D1"/>
    <w:pPr>
      <w:spacing w:line="240" w:lineRule="auto"/>
    </w:pPr>
    <w:rPr>
      <w:b/>
      <w:bCs/>
      <w:smallCaps/>
      <w:color w:val="595959" w:themeColor="text1" w:themeTint="A6"/>
    </w:rPr>
  </w:style>
  <w:style w:type="character" w:styleId="lev">
    <w:name w:val="Strong"/>
    <w:basedOn w:val="Policepardfaut"/>
    <w:uiPriority w:val="22"/>
    <w:qFormat/>
    <w:rsid w:val="00CB72D1"/>
    <w:rPr>
      <w:b/>
      <w:bCs/>
    </w:rPr>
  </w:style>
  <w:style w:type="character" w:styleId="Accentuation">
    <w:name w:val="Emphasis"/>
    <w:basedOn w:val="Policepardfaut"/>
    <w:uiPriority w:val="20"/>
    <w:qFormat/>
    <w:rsid w:val="00CB72D1"/>
    <w:rPr>
      <w:i/>
      <w:iCs/>
      <w:color w:val="4EA72E" w:themeColor="accent6"/>
    </w:rPr>
  </w:style>
  <w:style w:type="character" w:styleId="Accentuationlgre">
    <w:name w:val="Subtle Emphasis"/>
    <w:basedOn w:val="Policepardfaut"/>
    <w:uiPriority w:val="19"/>
    <w:qFormat/>
    <w:rsid w:val="00CB72D1"/>
    <w:rPr>
      <w:i/>
      <w:iCs/>
    </w:rPr>
  </w:style>
  <w:style w:type="character" w:styleId="Rfrencelgre">
    <w:name w:val="Subtle Reference"/>
    <w:basedOn w:val="Policepardfaut"/>
    <w:uiPriority w:val="31"/>
    <w:qFormat/>
    <w:rsid w:val="00CB72D1"/>
    <w:rPr>
      <w:smallCaps/>
      <w:color w:val="595959" w:themeColor="text1" w:themeTint="A6"/>
    </w:rPr>
  </w:style>
  <w:style w:type="character" w:styleId="Titredulivre">
    <w:name w:val="Book Title"/>
    <w:basedOn w:val="Policepardfaut"/>
    <w:uiPriority w:val="33"/>
    <w:qFormat/>
    <w:rsid w:val="00CB72D1"/>
    <w:rPr>
      <w:b/>
      <w:bCs/>
      <w:caps w:val="0"/>
      <w:smallCaps/>
      <w:spacing w:val="7"/>
      <w:sz w:val="21"/>
      <w:szCs w:val="21"/>
    </w:rPr>
  </w:style>
  <w:style w:type="paragraph" w:styleId="En-ttedetabledesmatires">
    <w:name w:val="TOC Heading"/>
    <w:basedOn w:val="Titre1"/>
    <w:next w:val="Normal"/>
    <w:uiPriority w:val="39"/>
    <w:unhideWhenUsed/>
    <w:qFormat/>
    <w:rsid w:val="00CB72D1"/>
    <w:pPr>
      <w:outlineLvl w:val="9"/>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E5986"/>
    <w:rPr>
      <w:b/>
      <w:bCs/>
    </w:rPr>
  </w:style>
  <w:style w:type="character" w:customStyle="1" w:styleId="ObjetducommentaireCar">
    <w:name w:val="Objet du commentaire Car"/>
    <w:basedOn w:val="CommentaireCar"/>
    <w:link w:val="Objetducommentaire"/>
    <w:uiPriority w:val="99"/>
    <w:semiHidden/>
    <w:rsid w:val="009E5986"/>
    <w:rPr>
      <w:b/>
      <w:bCs/>
      <w:sz w:val="20"/>
      <w:szCs w:val="20"/>
    </w:rPr>
  </w:style>
  <w:style w:type="paragraph" w:customStyle="1" w:styleId="CommentText1">
    <w:name w:val="Comment Text1"/>
    <w:basedOn w:val="Normal"/>
    <w:uiPriority w:val="99"/>
    <w:unhideWhenUsed/>
    <w:rsid w:val="00D23053"/>
    <w:pPr>
      <w:spacing w:line="240" w:lineRule="auto"/>
    </w:pPr>
    <w:rPr>
      <w:sz w:val="20"/>
      <w:szCs w:val="20"/>
    </w:rPr>
  </w:style>
  <w:style w:type="character" w:customStyle="1" w:styleId="CommentReference1">
    <w:name w:val="Comment Reference1"/>
    <w:uiPriority w:val="99"/>
    <w:semiHidden/>
    <w:unhideWhenUsed/>
    <w:rsid w:val="00D23053"/>
    <w:rPr>
      <w:sz w:val="16"/>
      <w:szCs w:val="16"/>
    </w:rPr>
  </w:style>
  <w:style w:type="paragraph" w:customStyle="1" w:styleId="CommentSubject1">
    <w:name w:val="Comment Subject1"/>
    <w:basedOn w:val="CommentText1"/>
    <w:next w:val="CommentText1"/>
    <w:uiPriority w:val="99"/>
    <w:semiHidden/>
    <w:unhideWhenUsed/>
    <w:rsid w:val="00D23053"/>
    <w:rPr>
      <w:b/>
      <w:bCs/>
      <w:sz w:val="21"/>
      <w:szCs w:val="21"/>
    </w:rPr>
  </w:style>
  <w:style w:type="paragraph" w:styleId="TM2">
    <w:name w:val="toc 2"/>
    <w:basedOn w:val="Normal"/>
    <w:next w:val="Normal"/>
    <w:autoRedefine/>
    <w:uiPriority w:val="39"/>
    <w:unhideWhenUsed/>
    <w:rsid w:val="005F1488"/>
    <w:pPr>
      <w:spacing w:after="100"/>
      <w:ind w:left="210"/>
    </w:pPr>
    <w:rPr>
      <w:color w:val="0F4761" w:themeColor="accent1" w:themeShade="BF"/>
    </w:rPr>
  </w:style>
  <w:style w:type="paragraph" w:styleId="TM1">
    <w:name w:val="toc 1"/>
    <w:basedOn w:val="Normal"/>
    <w:next w:val="Normal"/>
    <w:autoRedefine/>
    <w:uiPriority w:val="39"/>
    <w:unhideWhenUsed/>
    <w:rsid w:val="005F1488"/>
    <w:pPr>
      <w:spacing w:after="100"/>
    </w:pPr>
    <w:rPr>
      <w:color w:val="0F4761" w:themeColor="accent1" w:themeShade="BF"/>
    </w:rPr>
  </w:style>
  <w:style w:type="paragraph" w:styleId="TM3">
    <w:name w:val="toc 3"/>
    <w:basedOn w:val="Normal"/>
    <w:next w:val="Normal"/>
    <w:autoRedefine/>
    <w:uiPriority w:val="39"/>
    <w:unhideWhenUsed/>
    <w:rsid w:val="007F1E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notia.ca/knowledge/home.aspx?productid=1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paquebec.ca/fr/membres-cpa/obligations/permis-de-comptabilite-publique/modeles-de-signature/" TargetMode="External"/><Relationship Id="rId3" Type="http://schemas.openxmlformats.org/officeDocument/2006/relationships/hyperlink" Target="http://cpaquebec.ca/fr/membres-cpa/obligations/permis-de-comptabilite-publique/modeles-de-signature/" TargetMode="External"/><Relationship Id="rId7" Type="http://schemas.openxmlformats.org/officeDocument/2006/relationships/hyperlink" Target="http://cpaquebec.ca/fr/membres-cpa/obligations/permis-de-comptabilite-publique/modeles-de-signature/" TargetMode="External"/><Relationship Id="rId2" Type="http://schemas.openxmlformats.org/officeDocument/2006/relationships/hyperlink" Target="http://cpaquebec.ca/fr/membres-cpa/obligations/permis-de-comptabilite-publique/modeles-de-signature/" TargetMode="External"/><Relationship Id="rId1" Type="http://schemas.openxmlformats.org/officeDocument/2006/relationships/hyperlink" Target="http://cpaquebec.ca/fr/membres-cpa/obligations/permis-de-comptabilite-publique/modeles-de-signature/" TargetMode="External"/><Relationship Id="rId6" Type="http://schemas.openxmlformats.org/officeDocument/2006/relationships/hyperlink" Target="http://cpaquebec.ca/fr/membres-cpa/obligations/permis-de-comptabilite-publique/modeles-de-signature/" TargetMode="External"/><Relationship Id="rId5" Type="http://schemas.openxmlformats.org/officeDocument/2006/relationships/hyperlink" Target="http://cpaquebec.ca/fr/membres-cpa/obligations/permis-de-comptabilite-publique/modeles-de-signature/" TargetMode="External"/><Relationship Id="rId10" Type="http://schemas.openxmlformats.org/officeDocument/2006/relationships/hyperlink" Target="http://cpaquebec.ca/fr/membres-cpa/obligations/permis-de-comptabilite-publique/modeles-de-signature/" TargetMode="External"/><Relationship Id="rId4" Type="http://schemas.openxmlformats.org/officeDocument/2006/relationships/hyperlink" Target="http://cpaquebec.ca/fr/membres-cpa/obligations/permis-de-comptabilite-publique/modeles-de-signature/" TargetMode="External"/><Relationship Id="rId9" Type="http://schemas.openxmlformats.org/officeDocument/2006/relationships/hyperlink" Target="http://cpaquebec.ca/fr/membres-cpa/obligations/permis-de-comptabilite-publique/modeles-de-sign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1a6846e4-5b11-4c94-905d-77e0e8845f8f</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2.xml><?xml version="1.0" encoding="utf-8"?>
<ct:contentTypeSchema xmlns:ct="http://schemas.microsoft.com/office/2006/metadata/contentType" xmlns:ma="http://schemas.microsoft.com/office/2006/metadata/properties/metaAttributes" ct:_="" ma:_="" ma:contentTypeName="Document" ma:contentTypeID="0x01010050BC03C87A97284CBF8D4DD02B9E52AF" ma:contentTypeVersion="16" ma:contentTypeDescription="Crée un document." ma:contentTypeScope="" ma:versionID="b6f70a68ba79fef81fab774a8e9a27af">
  <xsd:schema xmlns:xsd="http://www.w3.org/2001/XMLSchema" xmlns:xs="http://www.w3.org/2001/XMLSchema" xmlns:p="http://schemas.microsoft.com/office/2006/metadata/properties" xmlns:ns2="87379688-1521-4489-97ba-f8115118b5a7" xmlns:ns3="17c228f7-f2c5-45b7-82a9-da8639724dbf" targetNamespace="http://schemas.microsoft.com/office/2006/metadata/properties" ma:root="true" ma:fieldsID="8e68fe0fade0439618c55f631eef9afb" ns2:_="" ns3:_="">
    <xsd:import namespace="87379688-1521-4489-97ba-f8115118b5a7"/>
    <xsd:import namespace="17c228f7-f2c5-45b7-82a9-da8639724dbf"/>
    <xsd:element name="properties">
      <xsd:complexType>
        <xsd:sequence>
          <xsd:element name="documentManagement">
            <xsd:complexType>
              <xsd:all>
                <xsd:element ref="ns2:StatutRevision" minOccurs="0"/>
                <xsd:element ref="ns2:EcheanceMateriel"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79688-1521-4489-97ba-f8115118b5a7" elementFormDefault="qualified">
    <xsd:import namespace="http://schemas.microsoft.com/office/2006/documentManagement/types"/>
    <xsd:import namespace="http://schemas.microsoft.com/office/infopath/2007/PartnerControls"/>
    <xsd:element name="StatutRevision" ma:index="8" nillable="true" ma:displayName="Statut de révision" ma:format="Dropdown" ma:internalName="StatutRevision">
      <xsd:simpleType>
        <xsd:restriction base="dms:Choice">
          <xsd:enumeration value="En cours"/>
          <xsd:enumeration value="Version initiale"/>
          <xsd:enumeration value="Questions à régler"/>
          <xsd:enumeration value="Version finale auteur"/>
          <xsd:enumeration value="Final (réservé à l'Ordre)"/>
        </xsd:restriction>
      </xsd:simpleType>
    </xsd:element>
    <xsd:element name="EcheanceMateriel" ma:index="9" nillable="true" ma:displayName="Échéance matériel" ma:format="DateOnly" ma:internalName="EcheanceMateriel">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228f7-f2c5-45b7-82a9-da8639724d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e6a877e7-f4a8-4320-b1dd-5a5d94f16680}" ma:internalName="TaxCatchAll" ma:showField="CatchAllData" ma:web="17c228f7-f2c5-45b7-82a9-da8639724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7c228f7-f2c5-45b7-82a9-da8639724dbf" xsi:nil="true"/>
    <lcf76f155ced4ddcb4097134ff3c332f xmlns="87379688-1521-4489-97ba-f8115118b5a7">
      <Terms xmlns="http://schemas.microsoft.com/office/infopath/2007/PartnerControls"/>
    </lcf76f155ced4ddcb4097134ff3c332f>
    <SharedWithUsers xmlns="17c228f7-f2c5-45b7-82a9-da8639724dbf">
      <UserInfo>
        <DisplayName/>
        <AccountId xsi:nil="true"/>
        <AccountType/>
      </UserInfo>
    </SharedWithUsers>
    <EcheanceMateriel xmlns="87379688-1521-4489-97ba-f8115118b5a7" xsi:nil="true"/>
    <StatutRevision xmlns="87379688-1521-4489-97ba-f8115118b5a7" xsi:nil="true"/>
  </documentManagement>
</p:properties>
</file>

<file path=customXml/itemProps1.xml><?xml version="1.0" encoding="utf-8"?>
<ds:datastoreItem xmlns:ds="http://schemas.openxmlformats.org/officeDocument/2006/customXml" ds:itemID="{8B32C707-2B78-47A0-8736-F4AD11F08719}">
  <ds:schemaRefs>
    <ds:schemaRef ds:uri="http://schemas.titus.com/TitusProperties/"/>
    <ds:schemaRef ds:uri=""/>
  </ds:schemaRefs>
</ds:datastoreItem>
</file>

<file path=customXml/itemProps2.xml><?xml version="1.0" encoding="utf-8"?>
<ds:datastoreItem xmlns:ds="http://schemas.openxmlformats.org/officeDocument/2006/customXml" ds:itemID="{A4D7481B-CB66-44D9-9568-B312CE06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79688-1521-4489-97ba-f8115118b5a7"/>
    <ds:schemaRef ds:uri="17c228f7-f2c5-45b7-82a9-da863972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DE82C-CF3E-4F1D-8887-49648F8061EF}">
  <ds:schemaRefs>
    <ds:schemaRef ds:uri="http://schemas.openxmlformats.org/officeDocument/2006/bibliography"/>
  </ds:schemaRefs>
</ds:datastoreItem>
</file>

<file path=customXml/itemProps4.xml><?xml version="1.0" encoding="utf-8"?>
<ds:datastoreItem xmlns:ds="http://schemas.openxmlformats.org/officeDocument/2006/customXml" ds:itemID="{1A4E468F-DFEB-449F-A400-C0BF5A3CA705}">
  <ds:schemaRefs>
    <ds:schemaRef ds:uri="http://schemas.microsoft.com/sharepoint/v3/contenttype/forms"/>
  </ds:schemaRefs>
</ds:datastoreItem>
</file>

<file path=customXml/itemProps5.xml><?xml version="1.0" encoding="utf-8"?>
<ds:datastoreItem xmlns:ds="http://schemas.openxmlformats.org/officeDocument/2006/customXml" ds:itemID="{D9CDCAA3-8218-4C71-90D8-FA2392154EB8}">
  <ds:schemaRefs>
    <ds:schemaRef ds:uri="http://schemas.microsoft.com/office/2006/metadata/properties"/>
    <ds:schemaRef ds:uri="http://schemas.microsoft.com/office/infopath/2007/PartnerControls"/>
    <ds:schemaRef ds:uri="17c228f7-f2c5-45b7-82a9-da8639724dbf"/>
    <ds:schemaRef ds:uri="87379688-1521-4489-97ba-f8115118b5a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7851</Words>
  <Characters>44518</Characters>
  <Application>Microsoft Office Word</Application>
  <DocSecurity>0</DocSecurity>
  <Lines>741</Lines>
  <Paragraphs>342</Paragraphs>
  <ScaleCrop>false</ScaleCrop>
  <Company/>
  <LinksUpToDate>false</LinksUpToDate>
  <CharactersWithSpaces>52027</CharactersWithSpaces>
  <SharedDoc>false</SharedDoc>
  <HLinks>
    <vt:vector size="138" baseType="variant">
      <vt:variant>
        <vt:i4>8126560</vt:i4>
      </vt:variant>
      <vt:variant>
        <vt:i4>75</vt:i4>
      </vt:variant>
      <vt:variant>
        <vt:i4>0</vt:i4>
      </vt:variant>
      <vt:variant>
        <vt:i4>5</vt:i4>
      </vt:variant>
      <vt:variant>
        <vt:lpwstr>https://www.knotia.ca/knowledge/home.aspx?productid=127</vt:lpwstr>
      </vt:variant>
      <vt:variant>
        <vt:lpwstr/>
      </vt:variant>
      <vt:variant>
        <vt:i4>1507391</vt:i4>
      </vt:variant>
      <vt:variant>
        <vt:i4>68</vt:i4>
      </vt:variant>
      <vt:variant>
        <vt:i4>0</vt:i4>
      </vt:variant>
      <vt:variant>
        <vt:i4>5</vt:i4>
      </vt:variant>
      <vt:variant>
        <vt:lpwstr/>
      </vt:variant>
      <vt:variant>
        <vt:lpwstr>_Toc228878224</vt:lpwstr>
      </vt:variant>
      <vt:variant>
        <vt:i4>1507391</vt:i4>
      </vt:variant>
      <vt:variant>
        <vt:i4>62</vt:i4>
      </vt:variant>
      <vt:variant>
        <vt:i4>0</vt:i4>
      </vt:variant>
      <vt:variant>
        <vt:i4>5</vt:i4>
      </vt:variant>
      <vt:variant>
        <vt:lpwstr/>
      </vt:variant>
      <vt:variant>
        <vt:lpwstr>_Toc228878223</vt:lpwstr>
      </vt:variant>
      <vt:variant>
        <vt:i4>1507391</vt:i4>
      </vt:variant>
      <vt:variant>
        <vt:i4>56</vt:i4>
      </vt:variant>
      <vt:variant>
        <vt:i4>0</vt:i4>
      </vt:variant>
      <vt:variant>
        <vt:i4>5</vt:i4>
      </vt:variant>
      <vt:variant>
        <vt:lpwstr/>
      </vt:variant>
      <vt:variant>
        <vt:lpwstr>_Toc228878222</vt:lpwstr>
      </vt:variant>
      <vt:variant>
        <vt:i4>1507391</vt:i4>
      </vt:variant>
      <vt:variant>
        <vt:i4>50</vt:i4>
      </vt:variant>
      <vt:variant>
        <vt:i4>0</vt:i4>
      </vt:variant>
      <vt:variant>
        <vt:i4>5</vt:i4>
      </vt:variant>
      <vt:variant>
        <vt:lpwstr/>
      </vt:variant>
      <vt:variant>
        <vt:lpwstr>_Toc228878221</vt:lpwstr>
      </vt:variant>
      <vt:variant>
        <vt:i4>1507391</vt:i4>
      </vt:variant>
      <vt:variant>
        <vt:i4>44</vt:i4>
      </vt:variant>
      <vt:variant>
        <vt:i4>0</vt:i4>
      </vt:variant>
      <vt:variant>
        <vt:i4>5</vt:i4>
      </vt:variant>
      <vt:variant>
        <vt:lpwstr/>
      </vt:variant>
      <vt:variant>
        <vt:lpwstr>_Toc228878220</vt:lpwstr>
      </vt:variant>
      <vt:variant>
        <vt:i4>1310783</vt:i4>
      </vt:variant>
      <vt:variant>
        <vt:i4>38</vt:i4>
      </vt:variant>
      <vt:variant>
        <vt:i4>0</vt:i4>
      </vt:variant>
      <vt:variant>
        <vt:i4>5</vt:i4>
      </vt:variant>
      <vt:variant>
        <vt:lpwstr/>
      </vt:variant>
      <vt:variant>
        <vt:lpwstr>_Toc228878219</vt:lpwstr>
      </vt:variant>
      <vt:variant>
        <vt:i4>1310783</vt:i4>
      </vt:variant>
      <vt:variant>
        <vt:i4>32</vt:i4>
      </vt:variant>
      <vt:variant>
        <vt:i4>0</vt:i4>
      </vt:variant>
      <vt:variant>
        <vt:i4>5</vt:i4>
      </vt:variant>
      <vt:variant>
        <vt:lpwstr/>
      </vt:variant>
      <vt:variant>
        <vt:lpwstr>_Toc228878218</vt:lpwstr>
      </vt:variant>
      <vt:variant>
        <vt:i4>1310783</vt:i4>
      </vt:variant>
      <vt:variant>
        <vt:i4>26</vt:i4>
      </vt:variant>
      <vt:variant>
        <vt:i4>0</vt:i4>
      </vt:variant>
      <vt:variant>
        <vt:i4>5</vt:i4>
      </vt:variant>
      <vt:variant>
        <vt:lpwstr/>
      </vt:variant>
      <vt:variant>
        <vt:lpwstr>_Toc228878217</vt:lpwstr>
      </vt:variant>
      <vt:variant>
        <vt:i4>1310783</vt:i4>
      </vt:variant>
      <vt:variant>
        <vt:i4>20</vt:i4>
      </vt:variant>
      <vt:variant>
        <vt:i4>0</vt:i4>
      </vt:variant>
      <vt:variant>
        <vt:i4>5</vt:i4>
      </vt:variant>
      <vt:variant>
        <vt:lpwstr/>
      </vt:variant>
      <vt:variant>
        <vt:lpwstr>_Toc228878216</vt:lpwstr>
      </vt:variant>
      <vt:variant>
        <vt:i4>1310783</vt:i4>
      </vt:variant>
      <vt:variant>
        <vt:i4>14</vt:i4>
      </vt:variant>
      <vt:variant>
        <vt:i4>0</vt:i4>
      </vt:variant>
      <vt:variant>
        <vt:i4>5</vt:i4>
      </vt:variant>
      <vt:variant>
        <vt:lpwstr/>
      </vt:variant>
      <vt:variant>
        <vt:lpwstr>_Toc228878215</vt:lpwstr>
      </vt:variant>
      <vt:variant>
        <vt:i4>1310783</vt:i4>
      </vt:variant>
      <vt:variant>
        <vt:i4>8</vt:i4>
      </vt:variant>
      <vt:variant>
        <vt:i4>0</vt:i4>
      </vt:variant>
      <vt:variant>
        <vt:i4>5</vt:i4>
      </vt:variant>
      <vt:variant>
        <vt:lpwstr/>
      </vt:variant>
      <vt:variant>
        <vt:lpwstr>_Toc228878214</vt:lpwstr>
      </vt:variant>
      <vt:variant>
        <vt:i4>1310783</vt:i4>
      </vt:variant>
      <vt:variant>
        <vt:i4>2</vt:i4>
      </vt:variant>
      <vt:variant>
        <vt:i4>0</vt:i4>
      </vt:variant>
      <vt:variant>
        <vt:i4>5</vt:i4>
      </vt:variant>
      <vt:variant>
        <vt:lpwstr/>
      </vt:variant>
      <vt:variant>
        <vt:lpwstr>_Toc228878213</vt:lpwstr>
      </vt:variant>
      <vt:variant>
        <vt:i4>1966102</vt:i4>
      </vt:variant>
      <vt:variant>
        <vt:i4>27</vt:i4>
      </vt:variant>
      <vt:variant>
        <vt:i4>0</vt:i4>
      </vt:variant>
      <vt:variant>
        <vt:i4>5</vt:i4>
      </vt:variant>
      <vt:variant>
        <vt:lpwstr>http://cpaquebec.ca/fr/membres-cpa/obligations/permis-de-comptabilite-publique/modeles-de-signature/</vt:lpwstr>
      </vt:variant>
      <vt:variant>
        <vt:lpwstr/>
      </vt:variant>
      <vt:variant>
        <vt:i4>1966102</vt:i4>
      </vt:variant>
      <vt:variant>
        <vt:i4>24</vt:i4>
      </vt:variant>
      <vt:variant>
        <vt:i4>0</vt:i4>
      </vt:variant>
      <vt:variant>
        <vt:i4>5</vt:i4>
      </vt:variant>
      <vt:variant>
        <vt:lpwstr>http://cpaquebec.ca/fr/membres-cpa/obligations/permis-de-comptabilite-publique/modeles-de-signature/</vt:lpwstr>
      </vt:variant>
      <vt:variant>
        <vt:lpwstr/>
      </vt:variant>
      <vt:variant>
        <vt:i4>1966102</vt:i4>
      </vt:variant>
      <vt:variant>
        <vt:i4>21</vt:i4>
      </vt:variant>
      <vt:variant>
        <vt:i4>0</vt:i4>
      </vt:variant>
      <vt:variant>
        <vt:i4>5</vt:i4>
      </vt:variant>
      <vt:variant>
        <vt:lpwstr>http://cpaquebec.ca/fr/membres-cpa/obligations/permis-de-comptabilite-publique/modeles-de-signature/</vt:lpwstr>
      </vt:variant>
      <vt:variant>
        <vt:lpwstr/>
      </vt:variant>
      <vt:variant>
        <vt:i4>1966102</vt:i4>
      </vt:variant>
      <vt:variant>
        <vt:i4>18</vt:i4>
      </vt:variant>
      <vt:variant>
        <vt:i4>0</vt:i4>
      </vt:variant>
      <vt:variant>
        <vt:i4>5</vt:i4>
      </vt:variant>
      <vt:variant>
        <vt:lpwstr>http://cpaquebec.ca/fr/membres-cpa/obligations/permis-de-comptabilite-publique/modeles-de-signature/</vt:lpwstr>
      </vt:variant>
      <vt:variant>
        <vt:lpwstr/>
      </vt:variant>
      <vt:variant>
        <vt:i4>1966102</vt:i4>
      </vt:variant>
      <vt:variant>
        <vt:i4>15</vt:i4>
      </vt:variant>
      <vt:variant>
        <vt:i4>0</vt:i4>
      </vt:variant>
      <vt:variant>
        <vt:i4>5</vt:i4>
      </vt:variant>
      <vt:variant>
        <vt:lpwstr>http://cpaquebec.ca/fr/membres-cpa/obligations/permis-de-comptabilite-publique/modeles-de-signature/</vt:lpwstr>
      </vt:variant>
      <vt:variant>
        <vt:lpwstr/>
      </vt:variant>
      <vt:variant>
        <vt:i4>1966102</vt:i4>
      </vt:variant>
      <vt:variant>
        <vt:i4>12</vt:i4>
      </vt:variant>
      <vt:variant>
        <vt:i4>0</vt:i4>
      </vt:variant>
      <vt:variant>
        <vt:i4>5</vt:i4>
      </vt:variant>
      <vt:variant>
        <vt:lpwstr>http://cpaquebec.ca/fr/membres-cpa/obligations/permis-de-comptabilite-publique/modeles-de-signature/</vt:lpwstr>
      </vt:variant>
      <vt:variant>
        <vt:lpwstr/>
      </vt:variant>
      <vt:variant>
        <vt:i4>1966102</vt:i4>
      </vt:variant>
      <vt:variant>
        <vt:i4>9</vt:i4>
      </vt:variant>
      <vt:variant>
        <vt:i4>0</vt:i4>
      </vt:variant>
      <vt:variant>
        <vt:i4>5</vt:i4>
      </vt:variant>
      <vt:variant>
        <vt:lpwstr>http://cpaquebec.ca/fr/membres-cpa/obligations/permis-de-comptabilite-publique/modeles-de-signature/</vt:lpwstr>
      </vt:variant>
      <vt:variant>
        <vt:lpwstr/>
      </vt:variant>
      <vt:variant>
        <vt:i4>1966102</vt:i4>
      </vt:variant>
      <vt:variant>
        <vt:i4>6</vt:i4>
      </vt:variant>
      <vt:variant>
        <vt:i4>0</vt:i4>
      </vt:variant>
      <vt:variant>
        <vt:i4>5</vt:i4>
      </vt:variant>
      <vt:variant>
        <vt:lpwstr>http://cpaquebec.ca/fr/membres-cpa/obligations/permis-de-comptabilite-publique/modeles-de-signature/</vt:lpwstr>
      </vt:variant>
      <vt:variant>
        <vt:lpwstr/>
      </vt:variant>
      <vt:variant>
        <vt:i4>1966102</vt:i4>
      </vt:variant>
      <vt:variant>
        <vt:i4>3</vt:i4>
      </vt:variant>
      <vt:variant>
        <vt:i4>0</vt:i4>
      </vt:variant>
      <vt:variant>
        <vt:i4>5</vt:i4>
      </vt:variant>
      <vt:variant>
        <vt:lpwstr>http://cpaquebec.ca/fr/membres-cpa/obligations/permis-de-comptabilite-publique/modeles-de-signature/</vt:lpwstr>
      </vt:variant>
      <vt:variant>
        <vt:lpwstr/>
      </vt:variant>
      <vt:variant>
        <vt:i4>1966102</vt:i4>
      </vt:variant>
      <vt:variant>
        <vt:i4>0</vt:i4>
      </vt:variant>
      <vt:variant>
        <vt:i4>0</vt:i4>
      </vt:variant>
      <vt:variant>
        <vt:i4>5</vt:i4>
      </vt:variant>
      <vt:variant>
        <vt:lpwstr>http://cpaquebec.ca/fr/membres-cpa/obligations/permis-de-comptabilite-publique/modeles-de-signature/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Smargiassi</dc:creator>
  <cp:keywords/>
  <dc:description/>
  <cp:lastModifiedBy>Annie Smargiassi</cp:lastModifiedBy>
  <cp:revision>10</cp:revision>
  <dcterms:created xsi:type="dcterms:W3CDTF">2026-05-06T15:06:00Z</dcterms:created>
  <dcterms:modified xsi:type="dcterms:W3CDTF">2026-05-06T15:18:00Z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0x01010050BC03C87A97284CBF8D4DD02B9E52AF</vt:lpwstr>
  </property>
  <property fmtid="{D5CDD505-2E9C-101B-9397-08002B2CF9AE}" pid="3" name="MediaServiceImageTags">
    <vt:lpwstr/>
  </property>
  <property fmtid="{D5CDD505-2E9C-101B-9397-08002B2CF9AE}" pid="4" name="docLang">
    <vt:lpwstr>fr</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23649600</vt:r8>
  </property>
  <property fmtid="{D5CDD505-2E9C-101B-9397-08002B2CF9AE}" pid="12" name="TitusGUID">
    <vt:lpwstr>1a6846e4-5b11-4c94-905d-77e0e8845f8f</vt:lpwstr>
  </property>
  <property fmtid="{D5CDD505-2E9C-101B-9397-08002B2CF9AE}" pid="13" name="RCGTRp">
    <vt:lpwstr>RCGTRp_0</vt:lpwstr>
  </property>
  <property fmtid="{D5CDD505-2E9C-101B-9397-08002B2CF9AE}" pid="14" name="RCGTClass">
    <vt:lpwstr>RCGTClass_I</vt:lpwstr>
  </property>
  <property fmtid="{D5CDD505-2E9C-101B-9397-08002B2CF9AE}" pid="15" name="ApplyVisMark">
    <vt:lpwstr>No</vt:lpwstr>
  </property>
</Properties>
</file>